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9618E0" w:rsidRPr="00F26675" w:rsidP="009618E0" w14:paraId="33B680A7" w14:textId="2C6668BB">
      <w:pPr>
        <w:pStyle w:val="BodytextAgency"/>
        <w:jc w:val="center"/>
        <w:rPr>
          <w:b/>
          <w:sz w:val="22"/>
          <w:szCs w:val="22"/>
        </w:rPr>
      </w:pPr>
      <w:r>
        <w:rPr>
          <w:rFonts w:ascii="Arial" w:eastAsia="Arial" w:hAnsi="Arial" w:cs="Arial"/>
          <w:b/>
          <w:sz w:val="32"/>
        </w:rPr>
        <w:t xml:space="preserve">Prescriber Guide </w:t>
      </w:r>
    </w:p>
    <w:p w:rsidR="00803506" w:rsidRPr="00CA6047" w:rsidP="00DC642E" w14:paraId="7E6E5D11" w14:textId="35463D91">
      <w:pPr>
        <w:spacing w:after="0" w:line="259" w:lineRule="auto"/>
        <w:ind w:left="-5"/>
        <w:jc w:val="center"/>
        <w:rPr>
          <w:color w:val="833C0B" w:themeColor="accent2" w:themeShade="80"/>
          <w:sz w:val="16"/>
          <w:szCs w:val="18"/>
        </w:rPr>
      </w:pPr>
      <w:r w:rsidRPr="00CA6047">
        <w:rPr>
          <w:b/>
          <w:color w:val="833C0B" w:themeColor="accent2" w:themeShade="80"/>
          <w:sz w:val="40"/>
          <w:szCs w:val="18"/>
        </w:rPr>
        <w:t>Important safety information</w:t>
      </w:r>
    </w:p>
    <w:p w:rsidR="00803506" w:rsidRPr="00CA6047" w:rsidP="00DC642E" w14:paraId="6AF55FB7" w14:textId="62B4A191">
      <w:pPr>
        <w:spacing w:after="0" w:line="259" w:lineRule="auto"/>
        <w:ind w:left="-5"/>
        <w:jc w:val="center"/>
        <w:rPr>
          <w:color w:val="833C0B" w:themeColor="accent2" w:themeShade="80"/>
          <w:sz w:val="16"/>
          <w:szCs w:val="18"/>
        </w:rPr>
      </w:pPr>
      <w:r w:rsidRPr="00CA6047">
        <w:rPr>
          <w:b/>
          <w:color w:val="833C0B" w:themeColor="accent2" w:themeShade="80"/>
          <w:sz w:val="40"/>
          <w:szCs w:val="18"/>
        </w:rPr>
        <w:t>for prescribers of</w:t>
      </w:r>
    </w:p>
    <w:p w:rsidR="00803506" w:rsidP="00DC642E" w14:paraId="6265EA23" w14:textId="7EA64BBC">
      <w:pPr>
        <w:spacing w:after="116" w:line="259" w:lineRule="auto"/>
        <w:ind w:left="-5"/>
        <w:jc w:val="center"/>
        <w:rPr>
          <w:b/>
          <w:color w:val="833C0B" w:themeColor="accent2" w:themeShade="80"/>
          <w:sz w:val="40"/>
          <w:szCs w:val="18"/>
        </w:rPr>
      </w:pPr>
      <w:r w:rsidRPr="00CA6047">
        <w:rPr>
          <w:b/>
          <w:color w:val="833C0B" w:themeColor="accent2" w:themeShade="80"/>
          <w:sz w:val="40"/>
          <w:szCs w:val="18"/>
        </w:rPr>
        <w:t>LEQSELVI</w:t>
      </w:r>
      <w:r w:rsidRPr="00CA6047">
        <w:rPr>
          <w:b/>
          <w:color w:val="833C0B" w:themeColor="accent2" w:themeShade="80"/>
          <w:sz w:val="36"/>
          <w:szCs w:val="18"/>
          <w:vertAlign w:val="superscript"/>
        </w:rPr>
        <w:t>®</w:t>
      </w:r>
      <w:r w:rsidRPr="00CA6047">
        <w:rPr>
          <w:rFonts w:ascii="Calibri" w:eastAsia="Calibri" w:hAnsi="Calibri" w:cs="Calibri"/>
          <w:noProof/>
          <w:color w:val="833C0B" w:themeColor="accent2" w:themeShade="80"/>
          <w:sz w:val="18"/>
          <w:szCs w:val="18"/>
        </w:rPr>
        <mc:AlternateContent>
          <mc:Choice Requires="wpg">
            <w:drawing>
              <wp:inline distT="0" distB="0" distL="0" distR="0">
                <wp:extent cx="179997" cy="155600"/>
                <wp:effectExtent l="0" t="0" r="0" b="0"/>
                <wp:docPr id="2789" name="Group 2789"/>
                <wp:cNvGraphicFramePr/>
                <a:graphic xmlns:a="http://schemas.openxmlformats.org/drawingml/2006/main">
                  <a:graphicData uri="http://schemas.microsoft.com/office/word/2010/wordprocessingGroup">
                    <wpg:wgp xmlns:wpg="http://schemas.microsoft.com/office/word/2010/wordprocessingGroup">
                      <wpg:cNvGrpSpPr/>
                      <wpg:grpSpPr>
                        <a:xfrm>
                          <a:off x="0" y="0"/>
                          <a:ext cx="179997" cy="155600"/>
                          <a:chOff x="0" y="0"/>
                          <a:chExt cx="179997" cy="155600"/>
                        </a:xfrm>
                      </wpg:grpSpPr>
                      <wps:wsp xmlns:wps="http://schemas.microsoft.com/office/word/2010/wordprocessingShape">
                        <wps:cNvPr id="82" name="Shape 82"/>
                        <wps:cNvSpPr/>
                        <wps:spPr>
                          <a:xfrm>
                            <a:off x="0" y="0"/>
                            <a:ext cx="179997" cy="155600"/>
                          </a:xfrm>
                          <a:custGeom>
                            <a:avLst/>
                            <a:gdLst/>
                            <a:rect l="0" t="0" r="0" b="0"/>
                            <a:pathLst>
                              <a:path fill="norm" h="155600" w="179997" stroke="1">
                                <a:moveTo>
                                  <a:pt x="0" y="0"/>
                                </a:moveTo>
                                <a:lnTo>
                                  <a:pt x="179997" y="0"/>
                                </a:lnTo>
                                <a:lnTo>
                                  <a:pt x="89941" y="155600"/>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i1025" style="width:14.17pt;height:12.25pt;mso-position-horizontal-relative:char;mso-position-vertical-relative:line" coordsize="1799,1556">
                <v:shape id="_x0000_s1026" style="width:1799;height:1556;position:absolute" coordsize="179997,155600" path="m,l179997,l89941,155600l,x" filled="t" fillcolor="black" stroked="f" strokecolor="black">
                  <v:stroke joinstyle="miter" endcap="flat" opacity="0"/>
                </v:shape>
              </v:group>
            </w:pict>
          </mc:Fallback>
        </mc:AlternateContent>
      </w:r>
      <w:r w:rsidRPr="00CA6047">
        <w:rPr>
          <w:b/>
          <w:color w:val="833C0B" w:themeColor="accent2" w:themeShade="80"/>
          <w:sz w:val="40"/>
          <w:szCs w:val="18"/>
        </w:rPr>
        <w:t>(</w:t>
      </w:r>
      <w:r w:rsidRPr="00CA6047">
        <w:rPr>
          <w:color w:val="833C0B" w:themeColor="accent2" w:themeShade="80"/>
          <w:sz w:val="16"/>
          <w:szCs w:val="18"/>
        </w:rPr>
        <w:t xml:space="preserve"> </w:t>
      </w:r>
      <w:r w:rsidRPr="00CA6047">
        <w:rPr>
          <w:b/>
          <w:color w:val="833C0B" w:themeColor="accent2" w:themeShade="80"/>
          <w:sz w:val="40"/>
          <w:szCs w:val="18"/>
        </w:rPr>
        <w:t>deuruxolitinib</w:t>
      </w:r>
      <w:r w:rsidRPr="00CA6047">
        <w:rPr>
          <w:b/>
          <w:color w:val="833C0B" w:themeColor="accent2" w:themeShade="80"/>
          <w:sz w:val="40"/>
          <w:szCs w:val="18"/>
        </w:rPr>
        <w:t>)</w:t>
      </w:r>
    </w:p>
    <w:p w:rsidR="001157B8" w:rsidP="00DC642E" w14:paraId="4CB4679A" w14:textId="3FF765F9">
      <w:pPr>
        <w:spacing w:after="116" w:line="259" w:lineRule="auto"/>
        <w:ind w:left="-5"/>
        <w:jc w:val="center"/>
        <w:rPr>
          <w:b/>
          <w:color w:val="833C0B" w:themeColor="accent2" w:themeShade="80"/>
          <w:sz w:val="40"/>
          <w:szCs w:val="18"/>
        </w:rPr>
      </w:pPr>
    </w:p>
    <w:p w:rsidR="001157B8" w:rsidP="00DC642E" w14:paraId="110FD1EF" w14:textId="26F57473">
      <w:pPr>
        <w:spacing w:after="116" w:line="259" w:lineRule="auto"/>
        <w:ind w:left="-5"/>
        <w:jc w:val="center"/>
        <w:rPr>
          <w:b/>
          <w:color w:val="833C0B" w:themeColor="accent2" w:themeShade="80"/>
          <w:sz w:val="40"/>
          <w:szCs w:val="18"/>
        </w:rPr>
      </w:pPr>
    </w:p>
    <w:p w:rsidR="001157B8" w:rsidRPr="00CA6047" w:rsidP="001157B8" w14:paraId="356CEA9D" w14:textId="41B19910">
      <w:pPr>
        <w:spacing w:after="116" w:line="259" w:lineRule="auto"/>
        <w:ind w:left="-5"/>
        <w:jc w:val="center"/>
        <w:rPr>
          <w:color w:val="833C0B" w:themeColor="accent2" w:themeShade="80"/>
          <w:sz w:val="16"/>
          <w:szCs w:val="18"/>
        </w:rPr>
      </w:pPr>
    </w:p>
    <w:tbl>
      <w:tblPr>
        <w:tblStyle w:val="TableGrid"/>
        <w:tblW w:w="7020" w:type="dxa"/>
        <w:tblInd w:w="5" w:type="dxa"/>
        <w:tblCellMar>
          <w:left w:w="175" w:type="dxa"/>
          <w:right w:w="115" w:type="dxa"/>
        </w:tblCellMar>
        <w:tblLook w:val="04A0"/>
      </w:tblPr>
      <w:tblGrid>
        <w:gridCol w:w="7020"/>
      </w:tblGrid>
      <w:tr w14:paraId="3DFE616A" w14:textId="77777777" w:rsidTr="00FA55A8">
        <w:tblPrEx>
          <w:tblW w:w="7020" w:type="dxa"/>
          <w:tblInd w:w="5" w:type="dxa"/>
          <w:tblLook w:val="04A0"/>
        </w:tblPrEx>
        <w:trPr>
          <w:trHeight w:val="1861"/>
        </w:trPr>
        <w:tc>
          <w:tcPr>
            <w:tcW w:w="7020" w:type="dxa"/>
            <w:tcBorders>
              <w:top w:val="single" w:sz="4" w:space="0" w:color="000000"/>
              <w:left w:val="single" w:sz="4" w:space="0" w:color="000000"/>
              <w:bottom w:val="single" w:sz="4" w:space="0" w:color="000000"/>
              <w:right w:val="single" w:sz="4" w:space="0" w:color="000000"/>
            </w:tcBorders>
            <w:vAlign w:val="center"/>
          </w:tcPr>
          <w:p w:rsidR="001157B8" w:rsidP="00FA55A8" w14:paraId="2E7154B7" w14:textId="77777777">
            <w:pPr>
              <w:spacing w:after="113" w:line="250" w:lineRule="auto"/>
              <w:ind w:left="0" w:firstLine="0"/>
            </w:pPr>
            <w:r>
              <w:rPr>
                <w:rFonts w:ascii="Calibri" w:eastAsia="Calibri" w:hAnsi="Calibri" w:cs="Calibri"/>
                <w:noProof/>
                <w:sz w:val="22"/>
              </w:rPr>
              <mc:AlternateContent>
                <mc:Choice Requires="wpg">
                  <w:drawing>
                    <wp:inline distT="0" distB="0" distL="0" distR="0">
                      <wp:extent cx="108001" cy="93358"/>
                      <wp:effectExtent l="0" t="0" r="0" b="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08001" cy="93358"/>
                                <a:chOff x="0" y="0"/>
                                <a:chExt cx="108001" cy="93358"/>
                              </a:xfrm>
                            </wpg:grpSpPr>
                            <wps:wsp xmlns:wps="http://schemas.microsoft.com/office/word/2010/wordprocessingShape">
                              <wps:cNvPr id="3" name="Shape 84"/>
                              <wps:cNvSpPr/>
                              <wps:spPr>
                                <a:xfrm>
                                  <a:off x="0" y="0"/>
                                  <a:ext cx="108001" cy="93358"/>
                                </a:xfrm>
                                <a:custGeom>
                                  <a:avLst/>
                                  <a:gdLst/>
                                  <a:rect l="0" t="0" r="0" b="0"/>
                                  <a:pathLst>
                                    <a:path fill="norm" h="93358" w="108001" stroke="1">
                                      <a:moveTo>
                                        <a:pt x="0" y="0"/>
                                      </a:moveTo>
                                      <a:lnTo>
                                        <a:pt x="108001" y="0"/>
                                      </a:lnTo>
                                      <a:lnTo>
                                        <a:pt x="53962" y="93358"/>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 o:spid="_x0000_i1027" style="width:8.5pt;height:7.35pt;mso-position-horizontal-relative:char;mso-position-vertical-relative:line" coordsize="108001,93358">
                      <v:shape id="Shape 84" o:spid="_x0000_s1028" style="width:108001;height:93358;mso-wrap-style:square;position:absolute;visibility:visible;v-text-anchor:top" coordsize="108001,93358" path="m,l108001,,53962,93358,,xe" fillcolor="black" stroked="f">
                        <v:stroke joinstyle="miter"/>
                        <v:path arrowok="t" textboxrect="0,0,108001,93358"/>
                      </v:shape>
                      <w10:anchorlock/>
                    </v:group>
                  </w:pict>
                </mc:Fallback>
              </mc:AlternateContent>
            </w:r>
            <w:r>
              <w:t xml:space="preserve"> This medicinal product is subject to additional monitoring. This will allow quick identification of new safety information.</w:t>
            </w:r>
          </w:p>
          <w:p w:rsidR="001157B8" w:rsidP="00FA55A8" w14:paraId="4CCBB57D" w14:textId="77777777">
            <w:pPr>
              <w:spacing w:after="0" w:line="259" w:lineRule="auto"/>
              <w:ind w:left="0" w:right="4" w:firstLine="0"/>
            </w:pPr>
            <w:r>
              <w:t xml:space="preserve">Adverse events should be reported. Reporting forms and information can be found </w:t>
            </w:r>
            <w:r w:rsidRPr="007160FA">
              <w:t>at http://yellowcard.mhra.gov.uk or search for MHRA Yellow Card in the Google Play or Apple App Store. Adverse events should also be reported to SUN Pharma Medical Information on +40 264501144.</w:t>
            </w:r>
          </w:p>
        </w:tc>
      </w:tr>
    </w:tbl>
    <w:p w:rsidR="001157B8" w:rsidP="001157B8" w14:paraId="31812337" w14:textId="5549D2ED">
      <w:pPr>
        <w:spacing w:after="116" w:line="259" w:lineRule="auto"/>
        <w:ind w:left="-5"/>
        <w:jc w:val="center"/>
        <w:rPr>
          <w:color w:val="833C0B" w:themeColor="accent2" w:themeShade="80"/>
          <w:sz w:val="16"/>
          <w:szCs w:val="18"/>
        </w:rPr>
      </w:pPr>
    </w:p>
    <w:p w:rsidR="001157B8" w:rsidP="001157B8" w14:paraId="0C2DBF51" w14:textId="52114B82">
      <w:pPr>
        <w:spacing w:after="116" w:line="259" w:lineRule="auto"/>
        <w:ind w:left="-5"/>
        <w:jc w:val="center"/>
        <w:rPr>
          <w:color w:val="833C0B" w:themeColor="accent2" w:themeShade="80"/>
          <w:sz w:val="16"/>
          <w:szCs w:val="18"/>
        </w:rPr>
      </w:pPr>
    </w:p>
    <w:p w:rsidR="001157B8" w:rsidP="001157B8" w14:paraId="7C8AA632" w14:textId="6E16C28C">
      <w:pPr>
        <w:spacing w:after="116" w:line="259" w:lineRule="auto"/>
        <w:ind w:left="-5"/>
        <w:jc w:val="center"/>
        <w:rPr>
          <w:color w:val="833C0B" w:themeColor="accent2" w:themeShade="80"/>
          <w:sz w:val="16"/>
          <w:szCs w:val="18"/>
        </w:rPr>
      </w:pPr>
    </w:p>
    <w:p w:rsidR="001157B8" w:rsidP="001157B8" w14:paraId="7A3274C2" w14:textId="7CB63913">
      <w:pPr>
        <w:spacing w:after="116" w:line="259" w:lineRule="auto"/>
        <w:ind w:left="-5"/>
        <w:jc w:val="center"/>
        <w:rPr>
          <w:color w:val="833C0B" w:themeColor="accent2" w:themeShade="80"/>
          <w:sz w:val="16"/>
          <w:szCs w:val="18"/>
        </w:rPr>
      </w:pPr>
    </w:p>
    <w:p w:rsidR="001157B8" w:rsidP="001157B8" w14:paraId="75B87ED1" w14:textId="41E60DF0">
      <w:pPr>
        <w:spacing w:after="116" w:line="259" w:lineRule="auto"/>
        <w:ind w:left="-5"/>
        <w:jc w:val="center"/>
        <w:rPr>
          <w:color w:val="833C0B" w:themeColor="accent2" w:themeShade="80"/>
          <w:sz w:val="16"/>
          <w:szCs w:val="18"/>
        </w:rPr>
      </w:pPr>
    </w:p>
    <w:p w:rsidR="001157B8" w:rsidP="001157B8" w14:paraId="31B18D53" w14:textId="03877A87">
      <w:pPr>
        <w:spacing w:after="116" w:line="259" w:lineRule="auto"/>
        <w:ind w:left="-5"/>
        <w:jc w:val="center"/>
        <w:rPr>
          <w:color w:val="833C0B" w:themeColor="accent2" w:themeShade="80"/>
          <w:sz w:val="16"/>
          <w:szCs w:val="18"/>
        </w:rPr>
      </w:pPr>
    </w:p>
    <w:p w:rsidR="001157B8" w:rsidP="001157B8" w14:paraId="7F744A8E" w14:textId="2B5D2EA9">
      <w:pPr>
        <w:spacing w:after="116" w:line="259" w:lineRule="auto"/>
        <w:ind w:left="-5"/>
        <w:jc w:val="center"/>
        <w:rPr>
          <w:color w:val="833C0B" w:themeColor="accent2" w:themeShade="80"/>
          <w:sz w:val="16"/>
          <w:szCs w:val="18"/>
        </w:rPr>
      </w:pPr>
    </w:p>
    <w:p w:rsidR="001157B8" w:rsidP="001157B8" w14:paraId="30D3D3A6" w14:textId="496B615E">
      <w:pPr>
        <w:spacing w:after="116" w:line="259" w:lineRule="auto"/>
        <w:ind w:left="-5"/>
        <w:jc w:val="center"/>
        <w:rPr>
          <w:color w:val="833C0B" w:themeColor="accent2" w:themeShade="80"/>
          <w:sz w:val="16"/>
          <w:szCs w:val="18"/>
        </w:rPr>
      </w:pPr>
    </w:p>
    <w:p w:rsidR="001157B8" w:rsidP="001157B8" w14:paraId="378339BA" w14:textId="404A6199">
      <w:pPr>
        <w:spacing w:after="116" w:line="259" w:lineRule="auto"/>
        <w:ind w:left="-5"/>
        <w:jc w:val="center"/>
        <w:rPr>
          <w:color w:val="833C0B" w:themeColor="accent2" w:themeShade="80"/>
          <w:sz w:val="16"/>
          <w:szCs w:val="18"/>
        </w:rPr>
      </w:pPr>
    </w:p>
    <w:p w:rsidR="00F636B7" w14:paraId="008EF9EF" w14:textId="6E1FC280">
      <w:pPr>
        <w:spacing w:after="160" w:line="259" w:lineRule="auto"/>
        <w:ind w:left="0" w:firstLine="0"/>
        <w:rPr>
          <w:color w:val="833C0B" w:themeColor="accent2" w:themeShade="80"/>
          <w:sz w:val="16"/>
          <w:szCs w:val="18"/>
        </w:rPr>
      </w:pPr>
      <w:r>
        <w:rPr>
          <w:color w:val="833C0B" w:themeColor="accent2" w:themeShade="80"/>
          <w:sz w:val="16"/>
          <w:szCs w:val="18"/>
        </w:rPr>
        <w:br w:type="page"/>
      </w:r>
    </w:p>
    <w:p w:rsidR="001157B8" w:rsidRPr="00CA6047" w:rsidP="001157B8" w14:paraId="5375A734" w14:textId="77777777">
      <w:pPr>
        <w:spacing w:after="116" w:line="259" w:lineRule="auto"/>
        <w:ind w:left="-5"/>
        <w:jc w:val="center"/>
        <w:rPr>
          <w:color w:val="833C0B" w:themeColor="accent2" w:themeShade="80"/>
          <w:sz w:val="16"/>
          <w:szCs w:val="18"/>
        </w:rPr>
      </w:pPr>
    </w:p>
    <w:p w:rsidR="00803506" w14:paraId="7AD427E3" w14:textId="07D9A1DD">
      <w:pPr>
        <w:ind w:left="15"/>
      </w:pPr>
      <w:r>
        <w:t>This Prescriber Guide contains specific steps and actions that need to be taken when prescribing and maintaining patients on LEQSELVI therapy. The important safety information that you need to consider when prescribing and maintaining patients on LEQSELVI relates to:</w:t>
      </w:r>
    </w:p>
    <w:p w:rsidR="00803506" w14:paraId="380B343D" w14:textId="77777777">
      <w:pPr>
        <w:numPr>
          <w:ilvl w:val="0"/>
          <w:numId w:val="1"/>
        </w:numPr>
        <w:ind w:hanging="227"/>
      </w:pPr>
      <w:r>
        <w:t>Potential risk of infections (including herpes zoster, serious infections and opportunistic infections)</w:t>
      </w:r>
    </w:p>
    <w:p w:rsidR="00803506" w14:paraId="20DFDCE8" w14:textId="77777777">
      <w:pPr>
        <w:numPr>
          <w:ilvl w:val="0"/>
          <w:numId w:val="1"/>
        </w:numPr>
        <w:ind w:hanging="227"/>
      </w:pPr>
      <w:r>
        <w:t>Potential risk of thromboembolic events (including deep vein thrombosis, pulmonary embolism and arterial thrombosis)</w:t>
      </w:r>
    </w:p>
    <w:p w:rsidR="00A61487" w:rsidRPr="00A61487" w:rsidP="00A61487" w14:paraId="025D2750" w14:textId="77777777">
      <w:pPr>
        <w:numPr>
          <w:ilvl w:val="0"/>
          <w:numId w:val="1"/>
        </w:numPr>
        <w:ind w:hanging="227"/>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6492705</wp:posOffset>
                </wp:positionV>
                <wp:extent cx="5328006" cy="25400"/>
                <wp:effectExtent l="0" t="0" r="0" b="0"/>
                <wp:wrapTopAndBottom/>
                <wp:docPr id="2788" name="Group 2788"/>
                <wp:cNvGraphicFramePr/>
                <a:graphic xmlns:a="http://schemas.openxmlformats.org/drawingml/2006/main">
                  <a:graphicData uri="http://schemas.microsoft.com/office/word/2010/wordprocessingGroup">
                    <wpg:wgp xmlns:wpg="http://schemas.microsoft.com/office/word/2010/wordprocessingGroup">
                      <wpg:cNvGrpSpPr/>
                      <wpg:grpSpPr>
                        <a:xfrm>
                          <a:off x="0" y="0"/>
                          <a:ext cx="5328006" cy="25400"/>
                          <a:chOff x="0" y="0"/>
                          <a:chExt cx="5328006" cy="25400"/>
                        </a:xfrm>
                      </wpg:grpSpPr>
                      <wps:wsp xmlns:wps="http://schemas.microsoft.com/office/word/2010/wordprocessingShape">
                        <wps:cNvPr id="76" name="Shape 76"/>
                        <wps:cNvSpPr/>
                        <wps:spPr>
                          <a:xfrm>
                            <a:off x="0" y="0"/>
                            <a:ext cx="5328006" cy="0"/>
                          </a:xfrm>
                          <a:custGeom>
                            <a:avLst/>
                            <a:gdLst/>
                            <a:rect l="0" t="0" r="0" b="0"/>
                            <a:pathLst>
                              <a:path fill="norm" w="5328006" stroke="1">
                                <a:moveTo>
                                  <a:pt x="5328006" y="0"/>
                                </a:moveTo>
                                <a:lnTo>
                                  <a:pt x="0" y="0"/>
                                </a:lnTo>
                              </a:path>
                            </a:pathLst>
                          </a:custGeom>
                          <a:ln w="25400">
                            <a:miter lim="100000"/>
                          </a:ln>
                        </wps:spPr>
                        <wps:style>
                          <a:lnRef idx="1">
                            <a:srgbClr val="004055"/>
                          </a:lnRef>
                          <a:fillRef idx="0">
                            <a:srgbClr val="000000">
                              <a:alpha val="0"/>
                            </a:srgbClr>
                          </a:fillRef>
                          <a:effectRef idx="0">
                            <a:scrgbClr r="0" g="0" b="0"/>
                          </a:effectRef>
                          <a:fontRef idx="none"/>
                        </wps:style>
                        <wps:bodyPr/>
                      </wps:wsp>
                    </wpg:wgp>
                  </a:graphicData>
                </a:graphic>
              </wp:anchor>
            </w:drawing>
          </mc:Choice>
          <mc:Fallback>
            <w:pict>
              <v:group id="_x0000_s1029" style="width:419.53pt;height:2pt;margin-top:511.24pt;margin-left:0;mso-position-horizontal-relative:page;mso-position-vertical-relative:page;position:absolute;z-index:251658240" coordsize="53280,254">
                <v:shape id="_x0000_s1030" style="width:53280;height:0;position:absolute" coordsize="5328006,0" path="m5328006,l,e" filled="f" fillcolor="black" stroked="t" strokecolor="#004055" strokeweight="2pt">
                  <v:fill opacity="0"/>
                  <v:stroke joinstyle="miter" endcap="flat"/>
                </v:shape>
                <w10:wrap type="topAndBottom"/>
              </v:group>
            </w:pict>
          </mc:Fallback>
        </mc:AlternateContent>
      </w:r>
      <w:r>
        <w:t>Potential risk of major adverse cardiovascular events (MACE)</w:t>
      </w:r>
      <w:r>
        <w:t xml:space="preserve">, </w:t>
      </w:r>
      <w:r w:rsidRPr="00A61487">
        <w:t>including myocardial infarction and stroke</w:t>
      </w:r>
    </w:p>
    <w:p w:rsidR="009618E0" w:rsidP="009618E0" w14:paraId="0A620E94" w14:textId="77777777">
      <w:pPr>
        <w:numPr>
          <w:ilvl w:val="0"/>
          <w:numId w:val="1"/>
        </w:numPr>
        <w:ind w:hanging="227"/>
      </w:pPr>
      <w:r>
        <w:t>Potential risk of malignancy</w:t>
      </w:r>
    </w:p>
    <w:p w:rsidR="009618E0" w:rsidRPr="009618E0" w:rsidP="009618E0" w14:paraId="3C5473E4" w14:textId="54A5E4A6">
      <w:pPr>
        <w:numPr>
          <w:ilvl w:val="0"/>
          <w:numId w:val="1"/>
        </w:numPr>
        <w:ind w:hanging="227"/>
      </w:pPr>
      <w:r w:rsidRPr="009618E0">
        <w:t xml:space="preserve">Potential risk of </w:t>
      </w:r>
      <w:r>
        <w:t>g</w:t>
      </w:r>
      <w:r w:rsidRPr="009618E0">
        <w:t>astrointestinal perforation</w:t>
      </w:r>
    </w:p>
    <w:p w:rsidR="00803506" w14:paraId="08509B9C" w14:textId="04E3FE6C">
      <w:pPr>
        <w:numPr>
          <w:ilvl w:val="0"/>
          <w:numId w:val="1"/>
        </w:numPr>
        <w:ind w:hanging="227"/>
      </w:pPr>
      <w:r>
        <w:t xml:space="preserve">Potential risk of </w:t>
      </w:r>
      <w:r>
        <w:t>embryofoetal</w:t>
      </w:r>
      <w:r>
        <w:t xml:space="preserve"> toxicity following exposure in utero </w:t>
      </w:r>
    </w:p>
    <w:p w:rsidR="00EB53AB" w14:paraId="0CCC5D43" w14:textId="3F7C17DA">
      <w:pPr>
        <w:numPr>
          <w:ilvl w:val="0"/>
          <w:numId w:val="1"/>
        </w:numPr>
        <w:ind w:hanging="227"/>
      </w:pPr>
      <w:r w:rsidRPr="00EB53AB">
        <w:t>In patients aged ≥65 years, current or past smokers, or those with cardiovascular or malignancy risk factors, LEQSELVI should only be used if no suitable treatment alternatives are available.</w:t>
      </w:r>
    </w:p>
    <w:p w:rsidR="00803506" w14:paraId="176E695F" w14:textId="77777777">
      <w:pPr>
        <w:spacing w:after="4"/>
        <w:ind w:left="15"/>
      </w:pPr>
      <w:r>
        <w:t>This Prescriber Guide should be read alongside the Summary of Product Characteristics.</w:t>
      </w:r>
    </w:p>
    <w:p w:rsidR="00803506" w14:paraId="1712E036" w14:textId="77777777">
      <w:pPr>
        <w:sectPr w:rsidSect="00D0244D">
          <w:headerReference w:type="even" r:id="rId5"/>
          <w:headerReference w:type="default" r:id="rId6"/>
          <w:footerReference w:type="even" r:id="rId7"/>
          <w:footerReference w:type="default" r:id="rId8"/>
          <w:headerReference w:type="first" r:id="rId9"/>
          <w:footerReference w:type="first" r:id="rId10"/>
          <w:pgSz w:w="8391" w:h="11906"/>
          <w:pgMar w:top="990" w:right="680" w:bottom="1440" w:left="680" w:header="720" w:footer="610" w:gutter="0"/>
          <w:cols w:space="720"/>
          <w:titlePg/>
          <w:docGrid w:linePitch="272"/>
        </w:sectPr>
      </w:pPr>
    </w:p>
    <w:p w:rsidR="00CC64F9" w:rsidP="00F636B7" w14:paraId="038FA785" w14:textId="3130AFE3">
      <w:pPr>
        <w:pStyle w:val="Heading1"/>
        <w:shd w:val="clear" w:color="auto" w:fill="FBE4D5" w:themeFill="accent2" w:themeFillTint="33"/>
        <w:jc w:val="center"/>
        <w:rPr>
          <w:color w:val="833C0B" w:themeColor="accent2" w:themeShade="80"/>
        </w:rPr>
      </w:pPr>
      <w:r>
        <w:rPr>
          <w:noProof/>
          <w:color w:val="ED7D31" w:themeColor="accent2"/>
        </w:rPr>
        <mc:AlternateContent>
          <mc:Choice Requires="wps">
            <w:drawing>
              <wp:anchor distT="0" distB="0" distL="114300" distR="114300" simplePos="0" relativeHeight="251661312" behindDoc="0" locked="0" layoutInCell="1" allowOverlap="1">
                <wp:simplePos x="0" y="0"/>
                <wp:positionH relativeFrom="column">
                  <wp:posOffset>63501</wp:posOffset>
                </wp:positionH>
                <wp:positionV relativeFrom="paragraph">
                  <wp:posOffset>-152400</wp:posOffset>
                </wp:positionV>
                <wp:extent cx="4324350" cy="3442584"/>
                <wp:effectExtent l="0" t="0" r="19050" b="2476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4324350" cy="3442584"/>
                        </a:xfrm>
                        <a:prstGeom prst="rect">
                          <a:avLst/>
                        </a:prstGeom>
                        <a:noFill/>
                        <a:ln>
                          <a:solidFill>
                            <a:schemeClr val="accent2">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1" style="width:340.5pt;height:271.05pt;margin-top:-12pt;margin-left:5pt;mso-height-percent:0;mso-height-relative:margin;mso-width-percent:0;mso-width-relative:margin;mso-wrap-distance-bottom:0;mso-wrap-distance-left:9pt;mso-wrap-distance-right:9pt;mso-wrap-distance-top:0;mso-wrap-style:square;position:absolute;visibility:visible;v-text-anchor:middle;z-index:251662336" filled="f" strokecolor="#823b0b" strokeweight="1pt"/>
            </w:pict>
          </mc:Fallback>
        </mc:AlternateContent>
      </w:r>
      <w:r w:rsidRPr="00CA6047" w:rsidR="009618E0">
        <w:rPr>
          <w:color w:val="833C0B" w:themeColor="accent2" w:themeShade="80"/>
        </w:rPr>
        <w:t>Important points to remember –</w:t>
      </w:r>
    </w:p>
    <w:p w:rsidR="00803506" w:rsidRPr="00CA6047" w:rsidP="00F636B7" w14:paraId="4A304864" w14:textId="33D8605F">
      <w:pPr>
        <w:pStyle w:val="Heading1"/>
        <w:shd w:val="clear" w:color="auto" w:fill="FBE4D5" w:themeFill="accent2" w:themeFillTint="33"/>
        <w:jc w:val="center"/>
        <w:rPr>
          <w:color w:val="833C0B" w:themeColor="accent2" w:themeShade="80"/>
        </w:rPr>
      </w:pPr>
      <w:r w:rsidRPr="00CA6047">
        <w:rPr>
          <w:color w:val="833C0B" w:themeColor="accent2" w:themeShade="80"/>
        </w:rPr>
        <w:t>Patient Card</w:t>
      </w:r>
    </w:p>
    <w:p w:rsidR="00803506" w:rsidP="00DC642E" w14:paraId="3955F6D3" w14:textId="61BD1047">
      <w:pPr>
        <w:shd w:val="clear" w:color="auto" w:fill="FBE4D5" w:themeFill="accent2" w:themeFillTint="33"/>
        <w:ind w:left="293"/>
      </w:pPr>
      <w:r>
        <w:t>Prior to starting and throughout treatment with LEQSELVI:</w:t>
      </w:r>
    </w:p>
    <w:p w:rsidR="00803506" w:rsidP="00DC642E" w14:paraId="31EAD5F8" w14:textId="35113171">
      <w:pPr>
        <w:shd w:val="clear" w:color="auto" w:fill="FBE4D5" w:themeFill="accent2" w:themeFillTint="33"/>
        <w:ind w:left="567" w:hanging="113"/>
      </w:pPr>
      <w:r>
        <w:rPr>
          <w:color w:val="007A5D"/>
        </w:rPr>
        <w:t xml:space="preserve"> </w:t>
      </w:r>
      <w:r w:rsidRPr="00CC64F9" w:rsidR="00F649FE">
        <w:rPr>
          <w:rFonts w:ascii="Wingdings" w:hAnsi="Wingdings"/>
          <w:color w:val="C45911" w:themeColor="accent2" w:themeShade="BF"/>
        </w:rPr>
        <w:sym w:font="Wingdings" w:char="F06F"/>
      </w:r>
      <w:r>
        <w:t xml:space="preserve"> Provide patients with the Patient Card and explain that it contains important safety information that they should be aware of before, during and after treatment with LEQSELVI</w:t>
      </w:r>
    </w:p>
    <w:p w:rsidR="00803506" w:rsidP="00DC642E" w14:paraId="191F525A" w14:textId="2DCB1A22">
      <w:pPr>
        <w:shd w:val="clear" w:color="auto" w:fill="FBE4D5" w:themeFill="accent2" w:themeFillTint="33"/>
        <w:ind w:left="567" w:hanging="113"/>
      </w:pPr>
      <w:r>
        <w:rPr>
          <w:color w:val="007A5D"/>
        </w:rPr>
        <w:t xml:space="preserve"> </w:t>
      </w:r>
      <w:r>
        <w:t xml:space="preserve"> </w:t>
      </w:r>
      <w:r w:rsidRPr="00CC64F9" w:rsidR="00F649FE">
        <w:rPr>
          <w:rFonts w:ascii="Wingdings" w:hAnsi="Wingdings"/>
          <w:color w:val="C45911" w:themeColor="accent2" w:themeShade="BF"/>
        </w:rPr>
        <w:sym w:font="Wingdings" w:char="F06F"/>
      </w:r>
      <w:r w:rsidR="00F649FE">
        <w:rPr>
          <w:color w:val="C45911" w:themeColor="accent2" w:themeShade="BF"/>
        </w:rPr>
        <w:t xml:space="preserve"> </w:t>
      </w:r>
      <w:r>
        <w:t xml:space="preserve">Discuss the important safety information for LEQSELVI treatment mentioned at the start of this document and ensure patient understanding of this important safety information as well as </w:t>
      </w:r>
      <w:r w:rsidR="00C94BB7">
        <w:t>ways to</w:t>
      </w:r>
      <w:r>
        <w:t xml:space="preserve"> </w:t>
      </w:r>
      <w:r>
        <w:t>minimise</w:t>
      </w:r>
      <w:r>
        <w:t xml:space="preserve"> risks. Encourage patients to ask questions about the Patient Card and the safe use of LEQSELVI</w:t>
      </w:r>
    </w:p>
    <w:p w:rsidR="00803506" w:rsidP="00DC642E" w14:paraId="6219AAA4" w14:textId="29F6B1DE">
      <w:pPr>
        <w:shd w:val="clear" w:color="auto" w:fill="FBE4D5" w:themeFill="accent2" w:themeFillTint="33"/>
        <w:ind w:left="567" w:hanging="113"/>
      </w:pPr>
      <w:r>
        <w:rPr>
          <w:color w:val="007A5D"/>
        </w:rPr>
        <w:t xml:space="preserve"> </w:t>
      </w:r>
      <w:r>
        <w:t xml:space="preserve"> </w:t>
      </w:r>
      <w:r w:rsidRPr="00CC64F9" w:rsidR="00F649FE">
        <w:rPr>
          <w:rFonts w:ascii="Wingdings" w:hAnsi="Wingdings"/>
          <w:color w:val="C45911" w:themeColor="accent2" w:themeShade="BF"/>
        </w:rPr>
        <w:sym w:font="Wingdings" w:char="F06F"/>
      </w:r>
      <w:r w:rsidR="00F649FE">
        <w:rPr>
          <w:color w:val="C45911" w:themeColor="accent2" w:themeShade="BF"/>
        </w:rPr>
        <w:t xml:space="preserve"> </w:t>
      </w:r>
      <w:r>
        <w:t>Inform patients about the importance of the Patient Card; to keep it with them and to have any doctor or pharmacist involved in their care (including vaccination clinics) review the Patient Card</w:t>
      </w:r>
    </w:p>
    <w:p w:rsidR="00803506" w:rsidP="00DC642E" w14:paraId="0DB439FC" w14:textId="284B383E">
      <w:pPr>
        <w:shd w:val="clear" w:color="auto" w:fill="FBE4D5" w:themeFill="accent2" w:themeFillTint="33"/>
        <w:spacing w:after="583"/>
        <w:ind w:left="567" w:hanging="113"/>
      </w:pPr>
      <w:r>
        <w:rPr>
          <w:color w:val="007A5D"/>
        </w:rPr>
        <w:t xml:space="preserve"> </w:t>
      </w:r>
      <w:r>
        <w:t xml:space="preserve"> </w:t>
      </w:r>
      <w:r w:rsidRPr="00CC64F9" w:rsidR="00F649FE">
        <w:rPr>
          <w:rFonts w:ascii="Wingdings" w:hAnsi="Wingdings"/>
          <w:color w:val="C45911" w:themeColor="accent2" w:themeShade="BF"/>
        </w:rPr>
        <w:sym w:font="Wingdings" w:char="F06F"/>
      </w:r>
      <w:r w:rsidR="00F649FE">
        <w:rPr>
          <w:color w:val="C45911" w:themeColor="accent2" w:themeShade="BF"/>
        </w:rPr>
        <w:t xml:space="preserve"> </w:t>
      </w:r>
      <w:r>
        <w:t>Advise patients that they should read the Patient Card alongside the Patient Information Leaflet</w:t>
      </w:r>
    </w:p>
    <w:p w:rsidR="00803506" w:rsidRPr="00CA6047" w14:paraId="56213B4F" w14:textId="25D77D35">
      <w:pPr>
        <w:spacing w:after="60"/>
        <w:ind w:left="-5"/>
        <w:rPr>
          <w:color w:val="833C0B" w:themeColor="accent2" w:themeShade="80"/>
        </w:rPr>
      </w:pPr>
      <w:r w:rsidRPr="00CA6047">
        <w:rPr>
          <w:b/>
          <w:color w:val="833C0B" w:themeColor="accent2" w:themeShade="80"/>
          <w:sz w:val="24"/>
        </w:rPr>
        <w:t xml:space="preserve">The risks and benefits of treatment should be considered in patients: </w:t>
      </w:r>
    </w:p>
    <w:p w:rsidR="00803506" w14:paraId="53ED1978" w14:textId="77777777">
      <w:pPr>
        <w:numPr>
          <w:ilvl w:val="0"/>
          <w:numId w:val="2"/>
        </w:numPr>
        <w:ind w:hanging="227"/>
      </w:pPr>
      <w:r>
        <w:t>With chronic or recurrent infection</w:t>
      </w:r>
    </w:p>
    <w:p w:rsidR="00803506" w14:paraId="49F6ED48" w14:textId="77777777">
      <w:pPr>
        <w:numPr>
          <w:ilvl w:val="0"/>
          <w:numId w:val="2"/>
        </w:numPr>
        <w:ind w:hanging="227"/>
      </w:pPr>
      <w:r>
        <w:t xml:space="preserve">Who </w:t>
      </w:r>
      <w:r>
        <w:t>have</w:t>
      </w:r>
      <w:r>
        <w:t xml:space="preserve"> been exposed to tuberculosis (TB)</w:t>
      </w:r>
    </w:p>
    <w:p w:rsidR="00803506" w14:paraId="20F9B115" w14:textId="77777777">
      <w:pPr>
        <w:numPr>
          <w:ilvl w:val="0"/>
          <w:numId w:val="2"/>
        </w:numPr>
        <w:ind w:hanging="227"/>
      </w:pPr>
      <w:r>
        <w:t xml:space="preserve">With a history of serious or opportunistic </w:t>
      </w:r>
      <w:r>
        <w:t>infection</w:t>
      </w:r>
    </w:p>
    <w:p w:rsidR="00CC64F9" w:rsidRPr="00CC64F9" w:rsidP="00CC64F9" w14:paraId="195B38E5" w14:textId="77777777">
      <w:pPr>
        <w:numPr>
          <w:ilvl w:val="0"/>
          <w:numId w:val="2"/>
        </w:numPr>
        <w:ind w:hanging="227"/>
      </w:pPr>
      <w:r>
        <w:t>Who have resided or travelled in areas of endemic TB or mycoses, or</w:t>
      </w:r>
    </w:p>
    <w:p w:rsidR="00803506" w:rsidRPr="00CC64F9" w:rsidP="00F636B7" w14:paraId="447C5457" w14:textId="759968ED">
      <w:pPr>
        <w:numPr>
          <w:ilvl w:val="0"/>
          <w:numId w:val="2"/>
        </w:numPr>
        <w:ind w:hanging="227"/>
        <w:jc w:val="center"/>
      </w:pPr>
      <w:r>
        <w:t>With underlying conditions that may predispose them to infection</w:t>
      </w:r>
      <w:r w:rsidR="00CC64F9">
        <w:br w:type="column"/>
      </w:r>
      <w:r w:rsidRPr="00CC64F9">
        <w:rPr>
          <w:b/>
          <w:color w:val="833C0B" w:themeColor="accent2" w:themeShade="80"/>
          <w:sz w:val="32"/>
        </w:rPr>
        <w:t>Actions for prescribers</w:t>
      </w:r>
    </w:p>
    <w:p w:rsidR="00803506" w:rsidRPr="00CC64F9" w:rsidP="00CC64F9" w14:paraId="70BC7035" w14:textId="31F314D9">
      <w:pPr>
        <w:ind w:left="5" w:firstLine="0"/>
        <w:rPr>
          <w:b/>
          <w:color w:val="833C0B" w:themeColor="accent2" w:themeShade="80"/>
          <w:sz w:val="24"/>
        </w:rPr>
      </w:pPr>
      <w:r w:rsidRPr="00CC64F9">
        <w:rPr>
          <w:b/>
          <w:color w:val="833C0B" w:themeColor="accent2" w:themeShade="80"/>
          <w:sz w:val="24"/>
        </w:rPr>
        <w:t xml:space="preserve">Before starting treatment with LEQSELVI: </w:t>
      </w:r>
    </w:p>
    <w:p w:rsidR="001157B8" w:rsidRPr="001157B8" w:rsidP="001157B8" w14:paraId="193568E2" w14:textId="77777777">
      <w:pPr>
        <w:ind w:left="232" w:firstLine="0"/>
        <w:jc w:val="both"/>
      </w:pPr>
      <w:r w:rsidRPr="00CC64F9">
        <w:rPr>
          <w:rFonts w:ascii="Wingdings" w:hAnsi="Wingdings"/>
          <w:color w:val="C45911" w:themeColor="accent2" w:themeShade="BF"/>
        </w:rPr>
        <w:sym w:font="Wingdings" w:char="F06F"/>
      </w:r>
      <w:r w:rsidRPr="00CC64F9" w:rsidR="009618E0">
        <w:t xml:space="preserve">  </w:t>
      </w:r>
      <w:r w:rsidRPr="001157B8">
        <w:t>Perform complete blood count (CBC) prior to initiation</w:t>
      </w:r>
    </w:p>
    <w:p w:rsidR="00803506" w:rsidRPr="00CC64F9" w:rsidP="00DC642E" w14:paraId="0829A2F5" w14:textId="56E24B40">
      <w:pPr>
        <w:ind w:left="232" w:firstLine="0"/>
        <w:jc w:val="both"/>
      </w:pPr>
      <w:r w:rsidRPr="00CC64F9">
        <w:rPr>
          <w:rFonts w:ascii="Wingdings" w:hAnsi="Wingdings"/>
          <w:color w:val="C45911" w:themeColor="accent2" w:themeShade="BF"/>
        </w:rPr>
        <w:sym w:font="Wingdings" w:char="F06F"/>
      </w:r>
      <w:r w:rsidRPr="00CC64F9">
        <w:t xml:space="preserve"> </w:t>
      </w:r>
      <w:r>
        <w:t xml:space="preserve"> </w:t>
      </w:r>
      <w:r w:rsidRPr="00CC64F9" w:rsidR="009618E0">
        <w:t>Screen patient for TB</w:t>
      </w:r>
    </w:p>
    <w:p w:rsidR="00803506" w:rsidRPr="00CC64F9" w:rsidP="00DC642E" w14:paraId="405D54AA" w14:textId="7B21E66E">
      <w:pPr>
        <w:ind w:left="232" w:firstLine="0"/>
        <w:jc w:val="both"/>
      </w:pPr>
      <w:r w:rsidRPr="00CC64F9">
        <w:t xml:space="preserve">  </w:t>
      </w:r>
      <w:r w:rsidRPr="00CC64F9" w:rsidR="00CC64F9">
        <w:t>-</w:t>
      </w:r>
      <w:r w:rsidRPr="00CC64F9">
        <w:t xml:space="preserve">Does the patient have a new diagnosis of latent TB or previously untreated latent TB? Start anti-TB therapy prior to initiating therapy with LEQSELVI </w:t>
      </w:r>
    </w:p>
    <w:p w:rsidR="00803506" w:rsidRPr="00CC64F9" w:rsidP="00DC642E" w14:paraId="5785D86C" w14:textId="5E920FEE">
      <w:pPr>
        <w:ind w:left="232" w:firstLine="0"/>
        <w:jc w:val="both"/>
      </w:pPr>
      <w:r w:rsidRPr="00CC64F9">
        <w:t xml:space="preserve">  </w:t>
      </w:r>
      <w:r w:rsidRPr="00CC64F9" w:rsidR="00CC64F9">
        <w:t>-</w:t>
      </w:r>
      <w:r w:rsidRPr="00CC64F9">
        <w:t xml:space="preserve">Does the patient have a negative latent TB test and is at high risk?  Consider anti-TB therapy before initiating treatment with LEQSELVI </w:t>
      </w:r>
    </w:p>
    <w:p w:rsidR="00803506" w:rsidP="00DC642E" w14:paraId="44CC78D5" w14:textId="19F46B89">
      <w:pPr>
        <w:ind w:left="232" w:firstLine="0"/>
        <w:jc w:val="both"/>
      </w:pPr>
      <w:r w:rsidRPr="00CC64F9">
        <w:rPr>
          <w:rFonts w:ascii="Wingdings" w:hAnsi="Wingdings"/>
          <w:color w:val="C45911" w:themeColor="accent2" w:themeShade="BF"/>
        </w:rPr>
        <w:sym w:font="Wingdings" w:char="F06F"/>
      </w:r>
      <w:r w:rsidRPr="00CC64F9">
        <w:rPr>
          <w:color w:val="C45911" w:themeColor="accent2" w:themeShade="BF"/>
        </w:rPr>
        <w:t xml:space="preserve"> </w:t>
      </w:r>
      <w:r w:rsidRPr="00CC64F9" w:rsidR="009618E0">
        <w:t xml:space="preserve">Screen for viral hepatitis (in accordance with clinical guidelines) </w:t>
      </w:r>
    </w:p>
    <w:p w:rsidR="00F636B7" w:rsidP="00F636B7" w14:paraId="6EF95D6A" w14:textId="77777777">
      <w:pPr>
        <w:ind w:left="232" w:firstLine="0"/>
        <w:jc w:val="both"/>
      </w:pPr>
      <w:r w:rsidRPr="00CC64F9">
        <w:rPr>
          <w:rFonts w:ascii="Wingdings" w:hAnsi="Wingdings"/>
          <w:color w:val="C45911" w:themeColor="accent2" w:themeShade="BF"/>
        </w:rPr>
        <w:sym w:font="Wingdings" w:char="F06F"/>
      </w:r>
      <w:r>
        <w:t xml:space="preserve"> </w:t>
      </w:r>
      <w:r w:rsidRPr="00020309">
        <w:t>Determine CYP2C9 genotype</w:t>
      </w:r>
      <w:r>
        <w:t>:</w:t>
      </w:r>
    </w:p>
    <w:p w:rsidR="00F636B7" w:rsidRPr="00020309" w:rsidP="00F636B7" w14:paraId="6F81AA0F" w14:textId="77777777">
      <w:pPr>
        <w:ind w:left="232" w:firstLine="0"/>
        <w:jc w:val="both"/>
      </w:pPr>
      <w:r>
        <w:rPr>
          <w:color w:val="C45911" w:themeColor="accent2" w:themeShade="BF"/>
        </w:rPr>
        <w:t>-</w:t>
      </w:r>
      <w:r w:rsidRPr="00020309">
        <w:t xml:space="preserve">LEQSELVI is contraindicated in </w:t>
      </w:r>
      <w:r w:rsidRPr="00020309">
        <w:t>CYP2C9 poor</w:t>
      </w:r>
      <w:r w:rsidRPr="00020309">
        <w:t xml:space="preserve"> metabolizers</w:t>
      </w:r>
    </w:p>
    <w:p w:rsidR="00F636B7" w:rsidP="00F636B7" w14:paraId="5C65F9B5" w14:textId="77B075B0">
      <w:pPr>
        <w:pStyle w:val="ListParagraph"/>
        <w:numPr>
          <w:ilvl w:val="0"/>
          <w:numId w:val="6"/>
        </w:numPr>
        <w:ind w:left="232" w:firstLine="0"/>
        <w:jc w:val="both"/>
      </w:pPr>
      <w:r w:rsidRPr="00020309">
        <w:t>Review concomitant medications for CYP2C9 inhibitors</w:t>
      </w:r>
      <w:r>
        <w:t>:</w:t>
      </w:r>
      <w:r w:rsidRPr="00020309">
        <w:t xml:space="preserve"> </w:t>
      </w:r>
    </w:p>
    <w:p w:rsidR="00F636B7" w:rsidRPr="00020309" w:rsidP="00F636B7" w14:paraId="4F29831F" w14:textId="77777777">
      <w:pPr>
        <w:pStyle w:val="ListParagraph"/>
        <w:ind w:left="232" w:firstLine="0"/>
        <w:jc w:val="both"/>
      </w:pPr>
      <w:r>
        <w:t xml:space="preserve">- </w:t>
      </w:r>
      <w:r w:rsidRPr="00020309">
        <w:t>LEQSELVI is contraindicated with moderate or strong CYP2C9 inhibitors</w:t>
      </w:r>
    </w:p>
    <w:p w:rsidR="006E4897" w:rsidRPr="006E4897" w:rsidP="006E4897" w14:paraId="1519413A" w14:textId="2C45387E">
      <w:pPr>
        <w:pStyle w:val="ListParagraph"/>
        <w:ind w:left="232"/>
        <w:jc w:val="both"/>
      </w:pPr>
      <w:r w:rsidRPr="00CC64F9">
        <w:rPr>
          <w:rFonts w:ascii="Wingdings" w:hAnsi="Wingdings"/>
          <w:color w:val="C45911" w:themeColor="accent2" w:themeShade="BF"/>
        </w:rPr>
        <w:sym w:font="Wingdings" w:char="F06F"/>
      </w:r>
      <w:r>
        <w:rPr>
          <w:color w:val="C45911" w:themeColor="accent2" w:themeShade="BF"/>
        </w:rPr>
        <w:t xml:space="preserve"> </w:t>
      </w:r>
      <w:r w:rsidRPr="006E4897">
        <w:t xml:space="preserve">Assess lipid parameters at baseline </w:t>
      </w:r>
    </w:p>
    <w:p w:rsidR="00CC64F9" w:rsidRPr="00CC64F9" w:rsidP="00DC642E" w14:paraId="5EF86F4A" w14:textId="772D275B">
      <w:pPr>
        <w:ind w:left="232" w:firstLine="0"/>
        <w:jc w:val="both"/>
      </w:pPr>
      <w:r w:rsidRPr="00CC64F9">
        <w:rPr>
          <w:rFonts w:ascii="Wingdings" w:hAnsi="Wingdings"/>
          <w:color w:val="C45911" w:themeColor="accent2" w:themeShade="BF"/>
        </w:rPr>
        <w:sym w:font="Wingdings" w:char="F06F"/>
      </w:r>
      <w:r w:rsidRPr="00CC64F9" w:rsidR="009618E0">
        <w:t xml:space="preserve"> Bring patients up to date with all </w:t>
      </w:r>
      <w:r w:rsidRPr="00CC64F9" w:rsidR="009618E0">
        <w:t>immunisations</w:t>
      </w:r>
      <w:r w:rsidRPr="00CC64F9" w:rsidR="009618E0">
        <w:t xml:space="preserve">, including prophylactic herpes zoster vaccinations (in agreement with current </w:t>
      </w:r>
      <w:r w:rsidRPr="00CC64F9" w:rsidR="009618E0">
        <w:t>immunisation</w:t>
      </w:r>
      <w:r w:rsidRPr="00CC64F9" w:rsidR="009618E0">
        <w:t xml:space="preserve"> guidelines) </w:t>
      </w:r>
    </w:p>
    <w:p w:rsidR="00803506" w:rsidRPr="00CC64F9" w:rsidP="00DC642E" w14:paraId="1F9C6BD2" w14:textId="700A91FD">
      <w:pPr>
        <w:ind w:left="232" w:firstLine="0"/>
        <w:jc w:val="both"/>
      </w:pPr>
      <w:r w:rsidRPr="00CC64F9">
        <w:t xml:space="preserve"> -</w:t>
      </w:r>
      <w:r w:rsidRPr="00CC64F9" w:rsidR="009618E0">
        <w:t xml:space="preserve">Avoid use of live attenuated vaccines during or immediately prior to  </w:t>
      </w:r>
    </w:p>
    <w:p w:rsidR="00803506" w:rsidRPr="00CC64F9" w:rsidP="00DC642E" w14:paraId="4EE122BE" w14:textId="7EEFED5A">
      <w:pPr>
        <w:ind w:left="232" w:firstLine="0"/>
        <w:jc w:val="both"/>
      </w:pPr>
      <w:r w:rsidRPr="00CC64F9">
        <w:t xml:space="preserve"> </w:t>
      </w:r>
      <w:r w:rsidRPr="00CC64F9" w:rsidR="009618E0">
        <w:t>LEQSELVI treatment</w:t>
      </w:r>
    </w:p>
    <w:p w:rsidR="00803506" w:rsidRPr="00CC64F9" w:rsidP="00DC642E" w14:paraId="2DFEA97E" w14:textId="55718C88">
      <w:pPr>
        <w:ind w:left="232" w:firstLine="0"/>
        <w:jc w:val="both"/>
      </w:pPr>
      <w:r w:rsidRPr="00CC64F9">
        <w:t xml:space="preserve"> -</w:t>
      </w:r>
      <w:r w:rsidRPr="00CC64F9" w:rsidR="009618E0">
        <w:t>Do not use live vaccines (for example: yellow fever; measles, mumps and rubella (MMR); and BCG) during or just before starting LEQSELVI treatment</w:t>
      </w:r>
    </w:p>
    <w:p w:rsidR="00803506" w:rsidRPr="00CC64F9" w:rsidP="00DC642E" w14:paraId="1DB911C7" w14:textId="03D7C2C1">
      <w:pPr>
        <w:ind w:left="232" w:firstLine="0"/>
        <w:jc w:val="both"/>
      </w:pPr>
      <w:r w:rsidRPr="00CC64F9">
        <w:rPr>
          <w:color w:val="C45911" w:themeColor="accent2" w:themeShade="BF"/>
        </w:rPr>
        <w:t xml:space="preserve"> </w:t>
      </w:r>
      <w:r w:rsidRPr="00CC64F9" w:rsidR="00CC64F9">
        <w:rPr>
          <w:rFonts w:ascii="Wingdings" w:hAnsi="Wingdings"/>
          <w:color w:val="C45911" w:themeColor="accent2" w:themeShade="BF"/>
        </w:rPr>
        <w:sym w:font="Wingdings" w:char="F06F"/>
      </w:r>
      <w:r w:rsidRPr="00CC64F9" w:rsidR="00CC64F9">
        <w:rPr>
          <w:color w:val="C45911" w:themeColor="accent2" w:themeShade="BF"/>
        </w:rPr>
        <w:t xml:space="preserve"> </w:t>
      </w:r>
      <w:r w:rsidRPr="00CC64F9">
        <w:t xml:space="preserve">Ask women and girls of childbearing potential whether they are pregnant, could be pregnant or intend to become pregnant </w:t>
      </w:r>
      <w:r w:rsidRPr="00CC64F9">
        <w:t>in the near future</w:t>
      </w:r>
      <w:r w:rsidRPr="00CC64F9">
        <w:t xml:space="preserve"> </w:t>
      </w:r>
    </w:p>
    <w:p w:rsidR="00803506" w:rsidRPr="00CC64F9" w:rsidP="00DC642E" w14:paraId="5FEBD250" w14:textId="527C00F0">
      <w:pPr>
        <w:ind w:left="232" w:firstLine="0"/>
        <w:jc w:val="both"/>
      </w:pPr>
      <w:r w:rsidRPr="00CC64F9">
        <w:rPr>
          <w:color w:val="C45911" w:themeColor="accent2" w:themeShade="BF"/>
        </w:rPr>
        <w:t xml:space="preserve"> </w:t>
      </w:r>
      <w:r w:rsidRPr="00CC64F9" w:rsidR="00CC64F9">
        <w:rPr>
          <w:rFonts w:ascii="Wingdings" w:hAnsi="Wingdings"/>
          <w:color w:val="C45911" w:themeColor="accent2" w:themeShade="BF"/>
        </w:rPr>
        <w:sym w:font="Wingdings" w:char="F06F"/>
      </w:r>
      <w:r w:rsidRPr="00CC64F9" w:rsidR="00CC64F9">
        <w:rPr>
          <w:color w:val="C45911" w:themeColor="accent2" w:themeShade="BF"/>
        </w:rPr>
        <w:t xml:space="preserve"> </w:t>
      </w:r>
      <w:r w:rsidRPr="00CC64F9">
        <w:t xml:space="preserve">Inform women and girls of childbearing potential to use effective contraception during treatment </w:t>
      </w:r>
    </w:p>
    <w:p w:rsidR="00EB53AB" w:rsidP="00DC642E" w14:paraId="0D9FA679" w14:textId="40C21ABE">
      <w:pPr>
        <w:ind w:left="232" w:firstLine="0"/>
        <w:jc w:val="both"/>
      </w:pPr>
      <w:r w:rsidRPr="00CC64F9">
        <w:rPr>
          <w:rFonts w:ascii="Wingdings" w:hAnsi="Wingdings"/>
          <w:color w:val="C45911" w:themeColor="accent2" w:themeShade="BF"/>
        </w:rPr>
        <w:sym w:font="Wingdings" w:char="F06F"/>
      </w:r>
      <w:r w:rsidRPr="00CC64F9">
        <w:t xml:space="preserve"> </w:t>
      </w:r>
      <w:r w:rsidRPr="001157B8" w:rsidR="001157B8">
        <w:t xml:space="preserve">Avoid use in patients </w:t>
      </w:r>
      <w:r w:rsidRPr="00EB53AB">
        <w:t>who may be at increased risk of thrombosis</w:t>
      </w:r>
    </w:p>
    <w:p w:rsidR="00803506" w:rsidRPr="00CC64F9" w:rsidP="00DC642E" w14:paraId="3CA67E85" w14:textId="21093AAF">
      <w:pPr>
        <w:ind w:left="232" w:firstLine="0"/>
        <w:jc w:val="both"/>
      </w:pPr>
      <w:r w:rsidRPr="00CC64F9">
        <w:rPr>
          <w:rFonts w:ascii="Wingdings" w:hAnsi="Wingdings"/>
          <w:color w:val="C45911" w:themeColor="accent2" w:themeShade="BF"/>
        </w:rPr>
        <w:sym w:font="Wingdings" w:char="F06F"/>
      </w:r>
      <w:r w:rsidRPr="00CC64F9">
        <w:t xml:space="preserve"> </w:t>
      </w:r>
      <w:r w:rsidRPr="00CC64F9" w:rsidR="009618E0">
        <w:t>Consider the risks and benefits of LEQSELVI treatment prior to initiating or continuing therapy in patients with a known malignancy other than a successfully treated non-melanoma skin cancer (NMSC) or cervical cancer</w:t>
      </w:r>
      <w:r w:rsidR="00EB53AB">
        <w:t xml:space="preserve"> </w:t>
      </w:r>
      <w:r w:rsidRPr="00EB53AB" w:rsidR="00EB53AB">
        <w:t>and in current or past smokers</w:t>
      </w:r>
    </w:p>
    <w:p w:rsidR="00803506" w:rsidP="00DC642E" w14:paraId="5A5086F6" w14:textId="63CD43E5">
      <w:pPr>
        <w:ind w:left="232" w:firstLine="0"/>
        <w:jc w:val="both"/>
      </w:pPr>
      <w:r w:rsidRPr="00CC64F9">
        <w:rPr>
          <w:rFonts w:ascii="Wingdings" w:hAnsi="Wingdings"/>
          <w:color w:val="C45911" w:themeColor="accent2" w:themeShade="BF"/>
        </w:rPr>
        <w:sym w:font="Wingdings" w:char="F06F"/>
      </w:r>
      <w:r w:rsidRPr="00CC64F9">
        <w:t xml:space="preserve"> </w:t>
      </w:r>
      <w:r w:rsidRPr="00CC64F9" w:rsidR="009618E0">
        <w:t>Conduct periodic skin examination for patients at increased risk for skin cancer</w:t>
      </w:r>
    </w:p>
    <w:p w:rsidR="00F636B7" w:rsidRPr="002B5EA2" w:rsidP="00F636B7" w14:paraId="5ACC6F28" w14:textId="77777777">
      <w:pPr>
        <w:spacing w:after="0" w:line="240" w:lineRule="auto"/>
        <w:ind w:left="0" w:firstLine="0"/>
        <w:rPr>
          <w:rFonts w:eastAsia="Times New Roman"/>
          <w:color w:val="auto"/>
          <w:szCs w:val="20"/>
        </w:rPr>
      </w:pPr>
      <w:r w:rsidRPr="00020309">
        <w:rPr>
          <w:rFonts w:ascii="Segoe UI Emoji" w:eastAsia="Times New Roman" w:hAnsi="Segoe UI Emoji" w:cs="Segoe UI Emoji"/>
          <w:color w:val="auto"/>
          <w:sz w:val="24"/>
          <w:szCs w:val="24"/>
        </w:rPr>
        <w:t>⚠</w:t>
      </w:r>
      <w:r w:rsidRPr="00020309">
        <w:rPr>
          <w:rFonts w:ascii="Times New Roman" w:eastAsia="Times New Roman" w:hAnsi="Times New Roman" w:cs="Times New Roman"/>
          <w:color w:val="auto"/>
          <w:sz w:val="24"/>
          <w:szCs w:val="24"/>
        </w:rPr>
        <w:t xml:space="preserve"> </w:t>
      </w:r>
      <w:r w:rsidRPr="002B5EA2">
        <w:rPr>
          <w:rFonts w:eastAsia="Times New Roman"/>
          <w:color w:val="auto"/>
          <w:szCs w:val="20"/>
        </w:rPr>
        <w:t>Contraindications related to drug metabolism:</w:t>
      </w:r>
    </w:p>
    <w:p w:rsidR="00F636B7" w:rsidRPr="002B5EA2" w:rsidP="00F636B7" w14:paraId="6FD132DC" w14:textId="77777777">
      <w:pPr>
        <w:spacing w:after="0" w:line="240" w:lineRule="auto"/>
        <w:ind w:left="270" w:firstLine="0"/>
        <w:rPr>
          <w:rFonts w:eastAsia="Times New Roman"/>
          <w:color w:val="auto"/>
          <w:szCs w:val="20"/>
        </w:rPr>
      </w:pPr>
      <w:r w:rsidRPr="002B5EA2">
        <w:rPr>
          <w:rFonts w:eastAsia="Times New Roman"/>
          <w:color w:val="auto"/>
          <w:szCs w:val="20"/>
        </w:rPr>
        <w:t>• CYP2C9 poor metabolizers</w:t>
      </w:r>
    </w:p>
    <w:p w:rsidR="00F636B7" w:rsidRPr="002B5EA2" w:rsidP="00F636B7" w14:paraId="47992040" w14:textId="77777777">
      <w:pPr>
        <w:spacing w:after="0" w:line="240" w:lineRule="auto"/>
        <w:ind w:left="270" w:firstLine="0"/>
        <w:rPr>
          <w:rFonts w:eastAsia="Times New Roman"/>
          <w:color w:val="auto"/>
          <w:szCs w:val="20"/>
        </w:rPr>
      </w:pPr>
      <w:r w:rsidRPr="002B5EA2">
        <w:rPr>
          <w:rFonts w:eastAsia="Times New Roman"/>
          <w:color w:val="auto"/>
          <w:szCs w:val="20"/>
        </w:rPr>
        <w:t>• Concomitant use with moderate or strong CYP2C9 inhibitor</w:t>
      </w:r>
    </w:p>
    <w:p w:rsidR="00F636B7" w:rsidRPr="00CC64F9" w:rsidP="00DC642E" w14:paraId="54B29416" w14:textId="77777777">
      <w:pPr>
        <w:ind w:left="232" w:firstLine="0"/>
        <w:jc w:val="both"/>
      </w:pPr>
    </w:p>
    <w:p w:rsidR="00803506" w:rsidRPr="00CA6047" w:rsidP="00DC642E" w14:paraId="5E56729E" w14:textId="435AFE05">
      <w:pPr>
        <w:spacing w:before="240" w:after="60"/>
        <w:ind w:left="-5"/>
        <w:rPr>
          <w:color w:val="833C0B" w:themeColor="accent2" w:themeShade="80"/>
        </w:rPr>
      </w:pPr>
      <w:r w:rsidRPr="00CA6047">
        <w:rPr>
          <w:b/>
          <w:color w:val="833C0B" w:themeColor="accent2" w:themeShade="80"/>
          <w:sz w:val="24"/>
        </w:rPr>
        <w:t xml:space="preserve">During treatment with LEQSELVI: </w:t>
      </w:r>
    </w:p>
    <w:p w:rsidR="001157B8" w:rsidRPr="001157B8" w:rsidP="007105AF" w14:paraId="57A0023B" w14:textId="7BF48C81">
      <w:pPr>
        <w:ind w:left="118" w:hanging="113"/>
      </w:pPr>
      <w:r>
        <w:rPr>
          <w:color w:val="007A5D"/>
        </w:rPr>
        <w:t xml:space="preserve"> </w:t>
      </w:r>
      <w:r>
        <w:t xml:space="preserve"> </w:t>
      </w:r>
      <w:r w:rsidRPr="00CC64F9">
        <w:rPr>
          <w:rFonts w:ascii="Wingdings" w:hAnsi="Wingdings"/>
          <w:color w:val="C45911" w:themeColor="accent2" w:themeShade="BF"/>
        </w:rPr>
        <w:sym w:font="Wingdings" w:char="F06F"/>
      </w:r>
      <w:r>
        <w:rPr>
          <w:color w:val="C45911" w:themeColor="accent2" w:themeShade="BF"/>
        </w:rPr>
        <w:t xml:space="preserve"> </w:t>
      </w:r>
      <w:r w:rsidRPr="001157B8">
        <w:t>Monitor complete blood counts periodically during treatment</w:t>
      </w:r>
      <w:r w:rsidR="007105AF">
        <w:t>.</w:t>
      </w:r>
      <w:r w:rsidR="00EB53AB">
        <w:rPr>
          <w:color w:val="C45911" w:themeColor="accent2" w:themeShade="BF"/>
        </w:rPr>
        <w:t xml:space="preserve"> </w:t>
      </w:r>
      <w:r w:rsidRPr="001157B8">
        <w:t>Interrupt</w:t>
      </w:r>
      <w:r w:rsidRPr="001157B8">
        <w:rPr>
          <w:color w:val="C45911" w:themeColor="accent2" w:themeShade="BF"/>
        </w:rPr>
        <w:t xml:space="preserve"> </w:t>
      </w:r>
      <w:r w:rsidRPr="001157B8">
        <w:t xml:space="preserve">treatment in case of significant </w:t>
      </w:r>
      <w:r w:rsidRPr="001157B8">
        <w:t>haematological</w:t>
      </w:r>
      <w:r w:rsidRPr="001157B8">
        <w:t xml:space="preserve"> abnormalities</w:t>
      </w:r>
    </w:p>
    <w:p w:rsidR="00803506" w:rsidP="00DC642E" w14:paraId="3577FCC7" w14:textId="385FF3B1">
      <w:pPr>
        <w:ind w:left="118" w:hanging="113"/>
      </w:pPr>
      <w:r>
        <w:rPr>
          <w:color w:val="C45911" w:themeColor="accent2" w:themeShade="BF"/>
        </w:rPr>
        <w:t xml:space="preserve">  </w:t>
      </w:r>
      <w:r w:rsidRPr="00CC64F9" w:rsidR="00DC642E">
        <w:rPr>
          <w:rFonts w:ascii="Wingdings" w:hAnsi="Wingdings"/>
          <w:color w:val="C45911" w:themeColor="accent2" w:themeShade="BF"/>
        </w:rPr>
        <w:sym w:font="Wingdings" w:char="F06F"/>
      </w:r>
      <w:r w:rsidR="00DC642E">
        <w:rPr>
          <w:color w:val="C45911" w:themeColor="accent2" w:themeShade="BF"/>
        </w:rPr>
        <w:t xml:space="preserve"> </w:t>
      </w:r>
      <w:r w:rsidR="009618E0">
        <w:t>Is the patient at high risk for TB? Consider screening for TB during treatment. Has the patient developed a new infection? Assess promptly and monitor. Discontinue temporarily for serious or opportunistic infections</w:t>
      </w:r>
    </w:p>
    <w:p w:rsidR="00803506" w14:paraId="57292EEA" w14:textId="1935ED8B">
      <w:pPr>
        <w:ind w:left="118" w:hanging="113"/>
      </w:pPr>
      <w:r>
        <w:rPr>
          <w:color w:val="007A5D"/>
        </w:rPr>
        <w:t xml:space="preserve"> </w:t>
      </w:r>
      <w:r>
        <w:t xml:space="preserve"> </w:t>
      </w:r>
      <w:r w:rsidRPr="00CC64F9" w:rsidR="00DC642E">
        <w:rPr>
          <w:rFonts w:ascii="Wingdings" w:hAnsi="Wingdings"/>
          <w:color w:val="C45911" w:themeColor="accent2" w:themeShade="BF"/>
        </w:rPr>
        <w:sym w:font="Wingdings" w:char="F06F"/>
      </w:r>
      <w:r w:rsidR="00DC642E">
        <w:rPr>
          <w:color w:val="C45911" w:themeColor="accent2" w:themeShade="BF"/>
        </w:rPr>
        <w:t xml:space="preserve"> </w:t>
      </w:r>
      <w:r>
        <w:t xml:space="preserve">Has the patient developed herpes zoster? Consider temporary interruption of treatment until the episode resolves </w:t>
      </w:r>
    </w:p>
    <w:p w:rsidR="00803506" w14:paraId="61F9B1EE" w14:textId="44E6B3DB">
      <w:pPr>
        <w:ind w:left="122" w:hanging="117"/>
      </w:pPr>
      <w:r>
        <w:rPr>
          <w:color w:val="007A5D"/>
        </w:rPr>
        <w:t xml:space="preserve"> </w:t>
      </w:r>
      <w:r>
        <w:t xml:space="preserve"> </w:t>
      </w:r>
      <w:r w:rsidRPr="00CC64F9" w:rsidR="00DC642E">
        <w:rPr>
          <w:rFonts w:ascii="Wingdings" w:hAnsi="Wingdings"/>
          <w:color w:val="C45911" w:themeColor="accent2" w:themeShade="BF"/>
        </w:rPr>
        <w:sym w:font="Wingdings" w:char="F06F"/>
      </w:r>
      <w:r w:rsidR="00DC642E">
        <w:rPr>
          <w:color w:val="C45911" w:themeColor="accent2" w:themeShade="BF"/>
        </w:rPr>
        <w:t xml:space="preserve"> </w:t>
      </w:r>
      <w:r>
        <w:t>Monitor for reactivation of viral hepatitis (according to clinical guidelines) during LEQSELVI treatment. Consult a liver specialist if there is evidence of reactivation</w:t>
      </w:r>
    </w:p>
    <w:p w:rsidR="00803506" w14:paraId="432BD905" w14:textId="618EA189">
      <w:pPr>
        <w:ind w:left="118" w:hanging="113"/>
      </w:pPr>
      <w:r>
        <w:rPr>
          <w:color w:val="007A5D"/>
        </w:rPr>
        <w:t xml:space="preserve"> </w:t>
      </w:r>
      <w:r>
        <w:t xml:space="preserve"> </w:t>
      </w:r>
      <w:r w:rsidRPr="00CC64F9" w:rsidR="00DC642E">
        <w:rPr>
          <w:rFonts w:ascii="Wingdings" w:hAnsi="Wingdings"/>
          <w:color w:val="C45911" w:themeColor="accent2" w:themeShade="BF"/>
        </w:rPr>
        <w:sym w:font="Wingdings" w:char="F06F"/>
      </w:r>
      <w:r w:rsidR="00DC642E">
        <w:rPr>
          <w:color w:val="C45911" w:themeColor="accent2" w:themeShade="BF"/>
        </w:rPr>
        <w:t xml:space="preserve"> </w:t>
      </w:r>
      <w:r>
        <w:t>Promptly evaluate patients and discontinue LEQSELVI in patients with suspected thromboembolic events</w:t>
      </w:r>
    </w:p>
    <w:p w:rsidR="006E4897" w:rsidP="006E4897" w14:paraId="40108B1C" w14:textId="77777777">
      <w:pPr>
        <w:spacing w:after="0" w:line="300" w:lineRule="atLeast"/>
        <w:ind w:left="0" w:firstLine="0"/>
      </w:pPr>
      <w:r>
        <w:rPr>
          <w:color w:val="007A5D"/>
        </w:rPr>
        <w:t xml:space="preserve"> </w:t>
      </w:r>
      <w:r>
        <w:t xml:space="preserve"> </w:t>
      </w:r>
      <w:r w:rsidRPr="00CC64F9" w:rsidR="00DC642E">
        <w:rPr>
          <w:rFonts w:ascii="Wingdings" w:hAnsi="Wingdings"/>
          <w:color w:val="C45911" w:themeColor="accent2" w:themeShade="BF"/>
        </w:rPr>
        <w:sym w:font="Wingdings" w:char="F06F"/>
      </w:r>
      <w:r w:rsidR="00DC642E">
        <w:rPr>
          <w:color w:val="C45911" w:themeColor="accent2" w:themeShade="BF"/>
        </w:rPr>
        <w:t xml:space="preserve"> </w:t>
      </w:r>
      <w:r w:rsidRPr="001157B8" w:rsidR="001157B8">
        <w:t xml:space="preserve">Promptly evaluate patients with new onset abdominal symptoms for </w:t>
      </w:r>
      <w:r w:rsidR="001157B8">
        <w:t xml:space="preserve">   </w:t>
      </w:r>
      <w:r w:rsidRPr="001157B8" w:rsidR="001157B8">
        <w:t>potential gastrointestinal perforation</w:t>
      </w:r>
    </w:p>
    <w:p w:rsidR="006E4897" w:rsidRPr="006E4897" w:rsidP="006E4897" w14:paraId="32CBF598" w14:textId="55B5926E">
      <w:pPr>
        <w:spacing w:after="0" w:line="300" w:lineRule="atLeast"/>
        <w:ind w:left="0" w:firstLine="0"/>
        <w:rPr>
          <w:rFonts w:ascii="Segoe UI" w:eastAsia="Times New Roman" w:hAnsi="Segoe UI" w:cs="Segoe UI"/>
          <w:color w:val="auto"/>
          <w:sz w:val="21"/>
          <w:szCs w:val="21"/>
        </w:rPr>
      </w:pPr>
      <w:r w:rsidRPr="00CC64F9">
        <w:rPr>
          <w:rFonts w:ascii="Wingdings" w:hAnsi="Wingdings"/>
          <w:color w:val="C45911" w:themeColor="accent2" w:themeShade="BF"/>
        </w:rPr>
        <w:sym w:font="Wingdings" w:char="F06F"/>
      </w:r>
      <w:r>
        <w:rPr>
          <w:color w:val="C45911" w:themeColor="accent2" w:themeShade="BF"/>
        </w:rPr>
        <w:t xml:space="preserve"> </w:t>
      </w:r>
      <w:r w:rsidRPr="006E4897">
        <w:rPr>
          <w:rFonts w:ascii="Segoe UI" w:eastAsia="Times New Roman" w:hAnsi="Segoe UI" w:cs="Segoe UI"/>
          <w:color w:val="auto"/>
          <w:sz w:val="21"/>
          <w:szCs w:val="21"/>
        </w:rPr>
        <w:t>Monitor lipid parameters periodically during treatment and manage abnormalities according to clinical guidelines</w:t>
      </w:r>
    </w:p>
    <w:p w:rsidR="001157B8" w:rsidRPr="001157B8" w:rsidP="001157B8" w14:paraId="1210637F" w14:textId="55998596">
      <w:pPr>
        <w:ind w:left="15"/>
      </w:pPr>
    </w:p>
    <w:p w:rsidR="001157B8" w:rsidP="00DC642E" w14:paraId="5938F58D" w14:textId="19C5B8FC">
      <w:pPr>
        <w:ind w:left="15"/>
      </w:pPr>
    </w:p>
    <w:p w:rsidR="00803506" w:rsidRPr="00CA6047" w:rsidP="00DC642E" w14:paraId="53B7BEFD" w14:textId="68993952">
      <w:pPr>
        <w:ind w:left="15"/>
        <w:rPr>
          <w:color w:val="833C0B" w:themeColor="accent2" w:themeShade="80"/>
        </w:rPr>
      </w:pPr>
      <w:r>
        <w:br w:type="column"/>
      </w:r>
      <w:r w:rsidRPr="00DC642E" w:rsidR="009618E0">
        <w:rPr>
          <w:b/>
          <w:color w:val="833C0B" w:themeColor="accent2" w:themeShade="80"/>
          <w:sz w:val="24"/>
        </w:rPr>
        <w:t>Further information</w:t>
      </w:r>
    </w:p>
    <w:p w:rsidR="00803506" w14:paraId="4B26D0A4" w14:textId="77777777">
      <w:pPr>
        <w:ind w:left="15"/>
      </w:pPr>
      <w:r>
        <w:t xml:space="preserve">All the educational materials, including the Patient Card and the Prescriber Guide are available at: </w:t>
      </w:r>
    </w:p>
    <w:p w:rsidR="00803506" w14:paraId="2B1F1087" w14:textId="59E08158">
      <w:pPr>
        <w:numPr>
          <w:ilvl w:val="0"/>
          <w:numId w:val="3"/>
        </w:numPr>
        <w:ind w:hanging="181"/>
      </w:pPr>
      <w:hyperlink r:id="rId11" w:history="1">
        <w:r w:rsidRPr="00CB60E5">
          <w:rPr>
            <w:rStyle w:val="Hyperlink"/>
          </w:rPr>
          <w:t>www.medicines.org.uk</w:t>
        </w:r>
      </w:hyperlink>
      <w:r>
        <w:t xml:space="preserve"> </w:t>
      </w:r>
      <w:r w:rsidRPr="001F4380" w:rsidR="009618E0">
        <w:t xml:space="preserve"> </w:t>
      </w:r>
    </w:p>
    <w:p w:rsidR="001F4380" w:rsidRPr="001F4380" w:rsidP="001F4380" w14:paraId="5F78ACB2" w14:textId="77777777">
      <w:pPr>
        <w:numPr>
          <w:ilvl w:val="0"/>
          <w:numId w:val="3"/>
        </w:numPr>
        <w:ind w:hanging="181"/>
        <w:rPr>
          <w:rStyle w:val="Hyperlink"/>
        </w:rPr>
      </w:pPr>
      <w:hyperlink r:id="rId12" w:history="1">
        <w:r>
          <w:rPr>
            <w:rStyle w:val="Hyperlink"/>
          </w:rPr>
          <w:t>United Kingdom - Educational Materials - Sun Pharmaceutical Industries Ltd.</w:t>
        </w:r>
      </w:hyperlink>
    </w:p>
    <w:p w:rsidR="001F4380" w:rsidRPr="001F4380" w:rsidP="001F4380" w14:paraId="7FD37267" w14:textId="77777777">
      <w:pPr>
        <w:ind w:left="5" w:firstLine="0"/>
      </w:pPr>
    </w:p>
    <w:p w:rsidR="00803506" w14:paraId="1439FF02" w14:textId="77777777">
      <w:pPr>
        <w:spacing w:after="441"/>
        <w:ind w:left="15"/>
      </w:pPr>
      <w:r>
        <w:t>As a healthcare professional, it is important that you report any suspected adverse reactions.</w:t>
      </w:r>
    </w:p>
    <w:p w:rsidR="00E369DA" w:rsidP="00F636B7" w14:paraId="16031F16" w14:textId="1F9C1C39">
      <w:pPr>
        <w:tabs>
          <w:tab w:val="center" w:pos="3296"/>
        </w:tabs>
      </w:pPr>
      <w:r>
        <w:rPr>
          <w:noProof/>
        </w:rPr>
        <w:drawing>
          <wp:anchor distT="0" distB="0" distL="114300" distR="114300" simplePos="0" relativeHeight="251660288" behindDoc="1" locked="0" layoutInCell="1" allowOverlap="1">
            <wp:simplePos x="0" y="0"/>
            <wp:positionH relativeFrom="column">
              <wp:posOffset>3689405</wp:posOffset>
            </wp:positionH>
            <wp:positionV relativeFrom="paragraph">
              <wp:posOffset>1584684</wp:posOffset>
            </wp:positionV>
            <wp:extent cx="532765" cy="584835"/>
            <wp:effectExtent l="0" t="0" r="635" b="5715"/>
            <wp:wrapTight wrapText="bothSides">
              <wp:wrapPolygon>
                <wp:start x="0" y="0"/>
                <wp:lineTo x="0" y="21107"/>
                <wp:lineTo x="20853" y="21107"/>
                <wp:lineTo x="208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3276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636B7">
        <w:tab/>
      </w:r>
      <w:r w:rsidR="00F636B7">
        <w:tab/>
      </w:r>
    </w:p>
    <w:sectPr w:rsidSect="00F636B7">
      <w:headerReference w:type="default" r:id="rId14"/>
      <w:pgSz w:w="8391" w:h="11906"/>
      <w:pgMar w:top="720" w:right="1118" w:bottom="144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897" w14:paraId="6E62E8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2054992519"/>
      <w:docPartObj>
        <w:docPartGallery w:val="Page Numbers (Bottom of Page)"/>
        <w:docPartUnique/>
      </w:docPartObj>
    </w:sdtPr>
    <w:sdtContent>
      <w:sdt>
        <w:sdtPr>
          <w:rPr>
            <w:sz w:val="18"/>
            <w:szCs w:val="18"/>
          </w:rPr>
          <w:id w:val="-1769616900"/>
          <w:docPartObj>
            <w:docPartGallery w:val="Page Numbers (Top of Page)"/>
            <w:docPartUnique/>
          </w:docPartObj>
        </w:sdtPr>
        <w:sdtContent>
          <w:p w:rsidR="00D0244D" w:rsidRPr="00D0244D" w:rsidP="00D0244D" w14:paraId="0C9ABFBE" w14:textId="78903B51">
            <w:pPr>
              <w:pStyle w:val="Footer"/>
              <w:rPr>
                <w:sz w:val="18"/>
                <w:szCs w:val="18"/>
              </w:rPr>
            </w:pPr>
            <w:r w:rsidRPr="00D0244D">
              <w:rPr>
                <w:sz w:val="18"/>
                <w:szCs w:val="18"/>
              </w:rPr>
              <w:t xml:space="preserve">Version 1/ </w:t>
            </w:r>
            <w:r w:rsidR="006E4897">
              <w:rPr>
                <w:sz w:val="18"/>
                <w:szCs w:val="18"/>
              </w:rPr>
              <w:t>Jun</w:t>
            </w:r>
            <w:r w:rsidRPr="00D0244D">
              <w:rPr>
                <w:sz w:val="18"/>
                <w:szCs w:val="18"/>
              </w:rPr>
              <w:t>-2026</w:t>
            </w:r>
          </w:p>
          <w:p w:rsidR="00D0244D" w:rsidRPr="00D0244D" w14:paraId="0B4DBB76" w14:textId="27BA9233">
            <w:pPr>
              <w:pStyle w:val="Footer"/>
              <w:jc w:val="right"/>
              <w:rPr>
                <w:sz w:val="18"/>
                <w:szCs w:val="18"/>
              </w:rPr>
            </w:pPr>
          </w:p>
          <w:p w:rsidR="00D0244D" w14:paraId="1AF6AA68" w14:textId="3449B912">
            <w:pPr>
              <w:pStyle w:val="Footer"/>
              <w:jc w:val="right"/>
            </w:pPr>
            <w:r w:rsidRPr="00D0244D">
              <w:rPr>
                <w:sz w:val="18"/>
                <w:szCs w:val="18"/>
              </w:rPr>
              <w:t xml:space="preserve">Page </w:t>
            </w:r>
            <w:r w:rsidRPr="00D0244D">
              <w:rPr>
                <w:b/>
                <w:bCs/>
                <w:sz w:val="18"/>
                <w:szCs w:val="18"/>
              </w:rPr>
              <w:fldChar w:fldCharType="begin"/>
            </w:r>
            <w:r w:rsidRPr="00D0244D">
              <w:rPr>
                <w:b/>
                <w:bCs/>
                <w:sz w:val="18"/>
                <w:szCs w:val="18"/>
              </w:rPr>
              <w:instrText xml:space="preserve"> PAGE </w:instrText>
            </w:r>
            <w:r w:rsidRPr="00D0244D">
              <w:rPr>
                <w:b/>
                <w:bCs/>
                <w:sz w:val="18"/>
                <w:szCs w:val="18"/>
              </w:rPr>
              <w:fldChar w:fldCharType="separate"/>
            </w:r>
            <w:r w:rsidRPr="00D0244D">
              <w:rPr>
                <w:b/>
                <w:bCs/>
                <w:noProof/>
                <w:sz w:val="18"/>
                <w:szCs w:val="18"/>
              </w:rPr>
              <w:t>2</w:t>
            </w:r>
            <w:r w:rsidRPr="00D0244D">
              <w:rPr>
                <w:b/>
                <w:bCs/>
                <w:sz w:val="18"/>
                <w:szCs w:val="18"/>
              </w:rPr>
              <w:fldChar w:fldCharType="end"/>
            </w:r>
            <w:r w:rsidRPr="00D0244D">
              <w:rPr>
                <w:sz w:val="18"/>
                <w:szCs w:val="18"/>
              </w:rPr>
              <w:t xml:space="preserve"> of </w:t>
            </w:r>
            <w:r w:rsidRPr="00D0244D">
              <w:rPr>
                <w:b/>
                <w:bCs/>
                <w:sz w:val="18"/>
                <w:szCs w:val="18"/>
              </w:rPr>
              <w:fldChar w:fldCharType="begin"/>
            </w:r>
            <w:r w:rsidRPr="00D0244D">
              <w:rPr>
                <w:b/>
                <w:bCs/>
                <w:sz w:val="18"/>
                <w:szCs w:val="18"/>
              </w:rPr>
              <w:instrText xml:space="preserve"> NUMPAGES  </w:instrText>
            </w:r>
            <w:r w:rsidRPr="00D0244D">
              <w:rPr>
                <w:b/>
                <w:bCs/>
                <w:sz w:val="18"/>
                <w:szCs w:val="18"/>
              </w:rPr>
              <w:fldChar w:fldCharType="separate"/>
            </w:r>
            <w:r w:rsidRPr="00D0244D">
              <w:rPr>
                <w:b/>
                <w:bCs/>
                <w:noProof/>
                <w:sz w:val="18"/>
                <w:szCs w:val="18"/>
              </w:rPr>
              <w:t>2</w:t>
            </w:r>
            <w:r w:rsidRPr="00D0244D">
              <w:rPr>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897" w14:paraId="5D14F9B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897" w14:paraId="36BD05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6B7" w:rsidP="00F636B7" w14:paraId="385D3536" w14:textId="72B0D569">
    <w:pPr>
      <w:pStyle w:val="Header"/>
      <w:jc w:val="right"/>
    </w:pPr>
    <w:r>
      <w:rPr>
        <w:noProof/>
      </w:rPr>
      <w:drawing>
        <wp:anchor distT="0" distB="0" distL="114300" distR="114300" simplePos="0" relativeHeight="251659264" behindDoc="1" locked="0" layoutInCell="1" allowOverlap="1">
          <wp:simplePos x="0" y="0"/>
          <wp:positionH relativeFrom="column">
            <wp:posOffset>4044950</wp:posOffset>
          </wp:positionH>
          <wp:positionV relativeFrom="paragraph">
            <wp:posOffset>-368300</wp:posOffset>
          </wp:positionV>
          <wp:extent cx="532765" cy="584835"/>
          <wp:effectExtent l="0" t="0" r="635" b="5715"/>
          <wp:wrapTight wrapText="bothSides">
            <wp:wrapPolygon>
              <wp:start x="0" y="0"/>
              <wp:lineTo x="0" y="21107"/>
              <wp:lineTo x="20853" y="21107"/>
              <wp:lineTo x="208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2765" cy="584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6B7" w14:paraId="6E26053A" w14:textId="5571EE83">
    <w:pPr>
      <w:pStyle w:val="Header"/>
    </w:pPr>
    <w:r>
      <w:rPr>
        <w:noProof/>
      </w:rPr>
      <w:drawing>
        <wp:anchor distT="0" distB="0" distL="114300" distR="114300" simplePos="0" relativeHeight="251658240" behindDoc="1" locked="0" layoutInCell="1" allowOverlap="1">
          <wp:simplePos x="0" y="0"/>
          <wp:positionH relativeFrom="column">
            <wp:posOffset>4057650</wp:posOffset>
          </wp:positionH>
          <wp:positionV relativeFrom="paragraph">
            <wp:posOffset>-400050</wp:posOffset>
          </wp:positionV>
          <wp:extent cx="532765" cy="584835"/>
          <wp:effectExtent l="0" t="0" r="635" b="5715"/>
          <wp:wrapTight wrapText="bothSides">
            <wp:wrapPolygon>
              <wp:start x="0" y="0"/>
              <wp:lineTo x="0" y="21107"/>
              <wp:lineTo x="20853" y="21107"/>
              <wp:lineTo x="2085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2765" cy="584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047" w:rsidRPr="00F636B7" w:rsidP="00F636B7" w14:paraId="2A42F6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CF1461"/>
    <w:multiLevelType w:val="hybridMultilevel"/>
    <w:tmpl w:val="0E0E9386"/>
    <w:lvl w:ilvl="0">
      <w:start w:val="1"/>
      <w:numFmt w:val="bullet"/>
      <w:lvlText w:val="•"/>
      <w:lvlJc w:val="left"/>
      <w:pPr>
        <w:ind w:left="186"/>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1">
      <w:start w:val="1"/>
      <w:numFmt w:val="bullet"/>
      <w:lvlText w:val="o"/>
      <w:lvlJc w:val="left"/>
      <w:pPr>
        <w:ind w:left="10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4">
      <w:start w:val="1"/>
      <w:numFmt w:val="bullet"/>
      <w:lvlText w:val="o"/>
      <w:lvlJc w:val="left"/>
      <w:pPr>
        <w:ind w:left="324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5">
      <w:start w:val="1"/>
      <w:numFmt w:val="bullet"/>
      <w:lvlText w:val="▪"/>
      <w:lvlJc w:val="left"/>
      <w:pPr>
        <w:ind w:left="396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7">
      <w:start w:val="1"/>
      <w:numFmt w:val="bullet"/>
      <w:lvlText w:val="o"/>
      <w:lvlJc w:val="left"/>
      <w:pPr>
        <w:ind w:left="54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8">
      <w:start w:val="1"/>
      <w:numFmt w:val="bullet"/>
      <w:lvlText w:val="▪"/>
      <w:lvlJc w:val="left"/>
      <w:pPr>
        <w:ind w:left="61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abstractNum>
  <w:abstractNum w:abstractNumId="1" w15:restartNumberingAfterBreak="0">
    <w:nsid w:val="08303864"/>
    <w:multiLevelType w:val="hybridMultilevel"/>
    <w:tmpl w:val="0E6800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B01613C"/>
    <w:multiLevelType w:val="hybridMultilevel"/>
    <w:tmpl w:val="6C7C5FC4"/>
    <w:lvl w:ilvl="0">
      <w:start w:val="0"/>
      <w:numFmt w:val="bullet"/>
      <w:lvlText w:val=""/>
      <w:lvlJc w:val="left"/>
      <w:pPr>
        <w:ind w:left="592" w:hanging="360"/>
      </w:pPr>
      <w:rPr>
        <w:rFonts w:ascii="Wingdings" w:eastAsia="Arial" w:hAnsi="Wingdings" w:cs="Arial" w:hint="default"/>
        <w:color w:val="C45911" w:themeColor="accent2" w:themeShade="BF"/>
      </w:rPr>
    </w:lvl>
    <w:lvl w:ilvl="1" w:tentative="1">
      <w:start w:val="1"/>
      <w:numFmt w:val="bullet"/>
      <w:lvlText w:val="o"/>
      <w:lvlJc w:val="left"/>
      <w:pPr>
        <w:ind w:left="1312" w:hanging="360"/>
      </w:pPr>
      <w:rPr>
        <w:rFonts w:ascii="Courier New" w:hAnsi="Courier New" w:cs="Courier New" w:hint="default"/>
      </w:rPr>
    </w:lvl>
    <w:lvl w:ilvl="2" w:tentative="1">
      <w:start w:val="1"/>
      <w:numFmt w:val="bullet"/>
      <w:lvlText w:val=""/>
      <w:lvlJc w:val="left"/>
      <w:pPr>
        <w:ind w:left="2032" w:hanging="360"/>
      </w:pPr>
      <w:rPr>
        <w:rFonts w:ascii="Wingdings" w:hAnsi="Wingdings" w:hint="default"/>
      </w:rPr>
    </w:lvl>
    <w:lvl w:ilvl="3" w:tentative="1">
      <w:start w:val="1"/>
      <w:numFmt w:val="bullet"/>
      <w:lvlText w:val=""/>
      <w:lvlJc w:val="left"/>
      <w:pPr>
        <w:ind w:left="2752" w:hanging="360"/>
      </w:pPr>
      <w:rPr>
        <w:rFonts w:ascii="Symbol" w:hAnsi="Symbol" w:hint="default"/>
      </w:rPr>
    </w:lvl>
    <w:lvl w:ilvl="4" w:tentative="1">
      <w:start w:val="1"/>
      <w:numFmt w:val="bullet"/>
      <w:lvlText w:val="o"/>
      <w:lvlJc w:val="left"/>
      <w:pPr>
        <w:ind w:left="3472" w:hanging="360"/>
      </w:pPr>
      <w:rPr>
        <w:rFonts w:ascii="Courier New" w:hAnsi="Courier New" w:cs="Courier New" w:hint="default"/>
      </w:rPr>
    </w:lvl>
    <w:lvl w:ilvl="5" w:tentative="1">
      <w:start w:val="1"/>
      <w:numFmt w:val="bullet"/>
      <w:lvlText w:val=""/>
      <w:lvlJc w:val="left"/>
      <w:pPr>
        <w:ind w:left="4192" w:hanging="360"/>
      </w:pPr>
      <w:rPr>
        <w:rFonts w:ascii="Wingdings" w:hAnsi="Wingdings" w:hint="default"/>
      </w:rPr>
    </w:lvl>
    <w:lvl w:ilvl="6" w:tentative="1">
      <w:start w:val="1"/>
      <w:numFmt w:val="bullet"/>
      <w:lvlText w:val=""/>
      <w:lvlJc w:val="left"/>
      <w:pPr>
        <w:ind w:left="4912" w:hanging="360"/>
      </w:pPr>
      <w:rPr>
        <w:rFonts w:ascii="Symbol" w:hAnsi="Symbol" w:hint="default"/>
      </w:rPr>
    </w:lvl>
    <w:lvl w:ilvl="7" w:tentative="1">
      <w:start w:val="1"/>
      <w:numFmt w:val="bullet"/>
      <w:lvlText w:val="o"/>
      <w:lvlJc w:val="left"/>
      <w:pPr>
        <w:ind w:left="5632" w:hanging="360"/>
      </w:pPr>
      <w:rPr>
        <w:rFonts w:ascii="Courier New" w:hAnsi="Courier New" w:cs="Courier New" w:hint="default"/>
      </w:rPr>
    </w:lvl>
    <w:lvl w:ilvl="8" w:tentative="1">
      <w:start w:val="1"/>
      <w:numFmt w:val="bullet"/>
      <w:lvlText w:val=""/>
      <w:lvlJc w:val="left"/>
      <w:pPr>
        <w:ind w:left="6352" w:hanging="360"/>
      </w:pPr>
      <w:rPr>
        <w:rFonts w:ascii="Wingdings" w:hAnsi="Wingdings" w:hint="default"/>
      </w:rPr>
    </w:lvl>
  </w:abstractNum>
  <w:abstractNum w:abstractNumId="3" w15:restartNumberingAfterBreak="0">
    <w:nsid w:val="45DF329F"/>
    <w:multiLevelType w:val="hybridMultilevel"/>
    <w:tmpl w:val="1994A260"/>
    <w:lvl w:ilvl="0">
      <w:start w:val="1"/>
      <w:numFmt w:val="bullet"/>
      <w:lvlText w:val="•"/>
      <w:lvlJc w:val="left"/>
      <w:pPr>
        <w:ind w:left="232"/>
      </w:pPr>
      <w:rPr>
        <w:rFonts w:ascii="Arial" w:eastAsia="Arial" w:hAnsi="Arial" w:cs="Arial"/>
        <w:b w:val="0"/>
        <w:i w:val="0"/>
        <w:strike w:val="0"/>
        <w:dstrike w:val="0"/>
        <w:color w:val="C45911" w:themeColor="accent2" w:themeShade="BF"/>
        <w:sz w:val="20"/>
        <w:szCs w:val="20"/>
        <w:u w:val="none" w:color="000000"/>
        <w:bdr w:val="none" w:sz="0" w:space="0" w:color="auto"/>
        <w:shd w:val="clear" w:color="auto" w:fill="auto"/>
        <w:vertAlign w:val="baseline"/>
      </w:rPr>
    </w:lvl>
    <w:lvl w:ilvl="1">
      <w:start w:val="1"/>
      <w:numFmt w:val="bullet"/>
      <w:lvlText w:val="o"/>
      <w:lvlJc w:val="left"/>
      <w:pPr>
        <w:ind w:left="10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4">
      <w:start w:val="1"/>
      <w:numFmt w:val="bullet"/>
      <w:lvlText w:val="o"/>
      <w:lvlJc w:val="left"/>
      <w:pPr>
        <w:ind w:left="324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5">
      <w:start w:val="1"/>
      <w:numFmt w:val="bullet"/>
      <w:lvlText w:val="▪"/>
      <w:lvlJc w:val="left"/>
      <w:pPr>
        <w:ind w:left="396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7">
      <w:start w:val="1"/>
      <w:numFmt w:val="bullet"/>
      <w:lvlText w:val="o"/>
      <w:lvlJc w:val="left"/>
      <w:pPr>
        <w:ind w:left="54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8">
      <w:start w:val="1"/>
      <w:numFmt w:val="bullet"/>
      <w:lvlText w:val="▪"/>
      <w:lvlJc w:val="left"/>
      <w:pPr>
        <w:ind w:left="61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abstractNum>
  <w:abstractNum w:abstractNumId="4" w15:restartNumberingAfterBreak="0">
    <w:nsid w:val="51DB056B"/>
    <w:multiLevelType w:val="hybridMultilevel"/>
    <w:tmpl w:val="041C0172"/>
    <w:lvl w:ilvl="0">
      <w:start w:val="1"/>
      <w:numFmt w:val="bullet"/>
      <w:lvlText w:val="•"/>
      <w:lvlJc w:val="left"/>
      <w:pPr>
        <w:ind w:left="232"/>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1">
      <w:start w:val="1"/>
      <w:numFmt w:val="bullet"/>
      <w:lvlText w:val="o"/>
      <w:lvlJc w:val="left"/>
      <w:pPr>
        <w:ind w:left="10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4">
      <w:start w:val="1"/>
      <w:numFmt w:val="bullet"/>
      <w:lvlText w:val="o"/>
      <w:lvlJc w:val="left"/>
      <w:pPr>
        <w:ind w:left="324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5">
      <w:start w:val="1"/>
      <w:numFmt w:val="bullet"/>
      <w:lvlText w:val="▪"/>
      <w:lvlJc w:val="left"/>
      <w:pPr>
        <w:ind w:left="396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7">
      <w:start w:val="1"/>
      <w:numFmt w:val="bullet"/>
      <w:lvlText w:val="o"/>
      <w:lvlJc w:val="left"/>
      <w:pPr>
        <w:ind w:left="540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lvl w:ilvl="8">
      <w:start w:val="1"/>
      <w:numFmt w:val="bullet"/>
      <w:lvlText w:val="▪"/>
      <w:lvlJc w:val="left"/>
      <w:pPr>
        <w:ind w:left="6120"/>
      </w:pPr>
      <w:rPr>
        <w:rFonts w:ascii="Arial" w:eastAsia="Arial" w:hAnsi="Arial" w:cs="Arial"/>
        <w:b w:val="0"/>
        <w:i w:val="0"/>
        <w:strike w:val="0"/>
        <w:dstrike w:val="0"/>
        <w:color w:val="007A5D"/>
        <w:sz w:val="20"/>
        <w:szCs w:val="20"/>
        <w:u w:val="none" w:color="000000"/>
        <w:bdr w:val="none" w:sz="0" w:space="0" w:color="auto"/>
        <w:shd w:val="clear" w:color="auto" w:fill="auto"/>
        <w:vertAlign w:val="baseline"/>
      </w:rPr>
    </w:lvl>
  </w:abstractNum>
  <w:abstractNum w:abstractNumId="5" w15:restartNumberingAfterBreak="0">
    <w:nsid w:val="7C4C4F98"/>
    <w:multiLevelType w:val="hybridMultilevel"/>
    <w:tmpl w:val="2BF6D76E"/>
    <w:lvl w:ilvl="0">
      <w:start w:val="1"/>
      <w:numFmt w:val="bullet"/>
      <w:lvlText w:val="•"/>
      <w:lvlJc w:val="left"/>
      <w:pPr>
        <w:ind w:left="720" w:hanging="360"/>
      </w:pPr>
      <w:rPr>
        <w:rFonts w:ascii="Arial" w:eastAsia="Arial" w:hAnsi="Arial" w:cs="Arial" w:hint="default"/>
        <w:b w:val="0"/>
        <w:i w:val="0"/>
        <w:strike w:val="0"/>
        <w:dstrike w:val="0"/>
        <w:color w:val="000000"/>
        <w:sz w:val="14"/>
        <w:szCs w:val="14"/>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3227592">
    <w:abstractNumId w:val="4"/>
  </w:num>
  <w:num w:numId="2" w16cid:durableId="1827161588">
    <w:abstractNumId w:val="3"/>
  </w:num>
  <w:num w:numId="3" w16cid:durableId="2024934968">
    <w:abstractNumId w:val="0"/>
  </w:num>
  <w:num w:numId="4" w16cid:durableId="1966737736">
    <w:abstractNumId w:val="1"/>
  </w:num>
  <w:num w:numId="5" w16cid:durableId="177626762">
    <w:abstractNumId w:val="5"/>
  </w:num>
  <w:num w:numId="6" w16cid:durableId="510334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506"/>
    <w:rsid w:val="00020309"/>
    <w:rsid w:val="001157B8"/>
    <w:rsid w:val="001F4380"/>
    <w:rsid w:val="002B5EA2"/>
    <w:rsid w:val="00333B36"/>
    <w:rsid w:val="00471D71"/>
    <w:rsid w:val="004968A9"/>
    <w:rsid w:val="005476EA"/>
    <w:rsid w:val="005B3116"/>
    <w:rsid w:val="0066652C"/>
    <w:rsid w:val="006E4897"/>
    <w:rsid w:val="007105AF"/>
    <w:rsid w:val="00714699"/>
    <w:rsid w:val="007160FA"/>
    <w:rsid w:val="00803506"/>
    <w:rsid w:val="008912C4"/>
    <w:rsid w:val="009618E0"/>
    <w:rsid w:val="00997129"/>
    <w:rsid w:val="00A61487"/>
    <w:rsid w:val="00AF3123"/>
    <w:rsid w:val="00C94BB7"/>
    <w:rsid w:val="00CA6047"/>
    <w:rsid w:val="00CB60E5"/>
    <w:rsid w:val="00CC64F9"/>
    <w:rsid w:val="00D0244D"/>
    <w:rsid w:val="00DC642E"/>
    <w:rsid w:val="00E13F92"/>
    <w:rsid w:val="00E22C9C"/>
    <w:rsid w:val="00E369DA"/>
    <w:rsid w:val="00EB53AB"/>
    <w:rsid w:val="00F26675"/>
    <w:rsid w:val="00F636B7"/>
    <w:rsid w:val="00F649FE"/>
    <w:rsid w:val="00FA55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818C13"/>
  <w15:docId w15:val="{3B79241A-7EA1-437A-B576-81ADE4F8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9" w:line="255"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69"/>
      <w:ind w:left="293" w:hanging="10"/>
      <w:outlineLvl w:val="0"/>
    </w:pPr>
    <w:rPr>
      <w:rFonts w:ascii="Arial" w:eastAsia="Arial" w:hAnsi="Arial" w:cs="Arial"/>
      <w:b/>
      <w:color w:val="007A5D"/>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7A5D"/>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odytextAgency">
    <w:name w:val="Body text (Agency)"/>
    <w:basedOn w:val="Normal"/>
    <w:link w:val="BodytextAgencyChar"/>
    <w:qFormat/>
    <w:rsid w:val="009618E0"/>
    <w:pPr>
      <w:spacing w:after="140" w:line="280" w:lineRule="atLeast"/>
      <w:ind w:left="0" w:firstLine="0"/>
    </w:pPr>
    <w:rPr>
      <w:rFonts w:ascii="Verdana" w:eastAsia="Verdana" w:hAnsi="Verdana" w:cs="Verdana"/>
      <w:color w:val="auto"/>
      <w:sz w:val="18"/>
      <w:szCs w:val="18"/>
      <w:lang w:val="en-GB" w:eastAsia="en-GB"/>
    </w:rPr>
  </w:style>
  <w:style w:type="character" w:customStyle="1" w:styleId="BodytextAgencyChar">
    <w:name w:val="Body text (Agency) Char"/>
    <w:link w:val="BodytextAgency"/>
    <w:qFormat/>
    <w:locked/>
    <w:rsid w:val="009618E0"/>
    <w:rPr>
      <w:rFonts w:ascii="Verdana" w:eastAsia="Verdana" w:hAnsi="Verdana" w:cs="Verdana"/>
      <w:sz w:val="18"/>
      <w:szCs w:val="18"/>
      <w:lang w:val="en-GB" w:eastAsia="en-GB"/>
    </w:rPr>
  </w:style>
  <w:style w:type="paragraph" w:styleId="Header">
    <w:name w:val="header"/>
    <w:basedOn w:val="Normal"/>
    <w:link w:val="HeaderChar"/>
    <w:uiPriority w:val="99"/>
    <w:unhideWhenUsed/>
    <w:rsid w:val="0096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8E0"/>
    <w:rPr>
      <w:rFonts w:ascii="Arial" w:eastAsia="Arial" w:hAnsi="Arial" w:cs="Arial"/>
      <w:color w:val="000000"/>
      <w:sz w:val="20"/>
    </w:rPr>
  </w:style>
  <w:style w:type="paragraph" w:styleId="Footer">
    <w:name w:val="footer"/>
    <w:basedOn w:val="Normal"/>
    <w:link w:val="FooterChar"/>
    <w:uiPriority w:val="99"/>
    <w:unhideWhenUsed/>
    <w:rsid w:val="0096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8E0"/>
    <w:rPr>
      <w:rFonts w:ascii="Arial" w:eastAsia="Arial" w:hAnsi="Arial" w:cs="Arial"/>
      <w:color w:val="000000"/>
      <w:sz w:val="20"/>
    </w:rPr>
  </w:style>
  <w:style w:type="paragraph" w:styleId="ListParagraph">
    <w:name w:val="List Paragraph"/>
    <w:basedOn w:val="Normal"/>
    <w:uiPriority w:val="34"/>
    <w:qFormat/>
    <w:rsid w:val="009618E0"/>
    <w:pPr>
      <w:ind w:left="720"/>
      <w:contextualSpacing/>
    </w:pPr>
  </w:style>
  <w:style w:type="character" w:styleId="Hyperlink">
    <w:name w:val="Hyperlink"/>
    <w:basedOn w:val="DefaultParagraphFont"/>
    <w:uiPriority w:val="99"/>
    <w:unhideWhenUsed/>
    <w:rsid w:val="001F4380"/>
    <w:rPr>
      <w:color w:val="0563C1" w:themeColor="hyperlink"/>
      <w:u w:val="single"/>
    </w:rPr>
  </w:style>
  <w:style w:type="character" w:styleId="UnresolvedMention">
    <w:name w:val="Unresolved Mention"/>
    <w:basedOn w:val="DefaultParagraphFont"/>
    <w:uiPriority w:val="99"/>
    <w:semiHidden/>
    <w:unhideWhenUsed/>
    <w:rsid w:val="001F4380"/>
    <w:rPr>
      <w:color w:val="605E5C"/>
      <w:shd w:val="clear" w:color="auto" w:fill="E1DFDD"/>
    </w:rPr>
  </w:style>
  <w:style w:type="character" w:styleId="FollowedHyperlink">
    <w:name w:val="FollowedHyperlink"/>
    <w:basedOn w:val="DefaultParagraphFont"/>
    <w:uiPriority w:val="99"/>
    <w:semiHidden/>
    <w:unhideWhenUsed/>
    <w:rsid w:val="001F4380"/>
    <w:rPr>
      <w:color w:val="954F72" w:themeColor="followedHyperlink"/>
      <w:u w:val="single"/>
    </w:rPr>
  </w:style>
  <w:style w:type="paragraph" w:styleId="Revision">
    <w:name w:val="Revision"/>
    <w:hidden/>
    <w:uiPriority w:val="99"/>
    <w:semiHidden/>
    <w:rsid w:val="005B3116"/>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protect.checkpoint.com/v2/r05/___http://www.medicines.org.uk___.YXBzMTpzdW5waGFybWE6YzpvZmZpY2UzNjVfZW1haWxzX2F0dGFjaG1lbnQ6N2EwNjk1MzE0ZTk4NzBhYjkxMTNjYWUyZmQ5YTYwZmU6NzphYmNhOmRiNzg2NTYyYjY0YjQ2NTMxY2U2ODI2ZTc1MDAyOWM3Y2FjYTJlOTViMGE4NjcxMGY5NGU3Y2VmNWZlYmNhMjI6cDpGOkY" TargetMode="External" /><Relationship Id="rId12" Type="http://schemas.openxmlformats.org/officeDocument/2006/relationships/hyperlink" Target="https://protect.checkpoint.com/v2/r05/___https://ind01.safelinks.protection.outlook.com/?url=https%3A%2F%2Fsunpharma.com%2Funited-kingdom-educational-materials%2F&amp;data=05%7C02%7CMihaelaAna.Cercel%40sunpharma.com%7C77a692d323384563c5a808deaa6813e9%7C8f20da68dda24932bb0f800d8579885d%7C0%7C0%7C639135561143417108%7CUnknown%7CTWFpbGZsb3d8eyJFbXB0eU1hcGkiOnRydWUsIlYiOiIwLjAuMDAwMCIsIlAiOiJXaW4zMiIsIkFOIjoiTWFpbCIsIldUIjoyfQ%3D%3D%7C0%7C%7C%7C&amp;sdata=qZroyN27zN5ICHE4pBNTU29Vi3nfvSThWGYhID46s0A%3D&amp;reserved=0___.YXBzMTpzdW5waGFybWE6YzpvZmZpY2UzNjVfZW1haWxzX2F0dGFjaG1lbnQ6N2EwNjk1MzE0ZTk4NzBhYjkxMTNjYWUyZmQ5YTYwZmU6NzpjOWY4OjJhMjZhNTFlMmEwNmM5NGRmYmUyMTkwZWFhNzMyODkzZDBhZGFmMjIyNTEzOTcyYmZkNmI1NDk1ZDZkOGMzYjU6cDpGOkY" TargetMode="External" /><Relationship Id="rId13" Type="http://schemas.openxmlformats.org/officeDocument/2006/relationships/image" Target="media/image1.png"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9DF81-FD49-41E1-A9EB-F894BC1A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Terapia SA</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Ana Cercel</dc:creator>
  <cp:lastModifiedBy>Ifra Manzoor Khan</cp:lastModifiedBy>
  <cp:revision>5</cp:revision>
  <dcterms:created xsi:type="dcterms:W3CDTF">2026-06-25T10:31:00Z</dcterms:created>
  <dcterms:modified xsi:type="dcterms:W3CDTF">2026-08-19T12:27:00Z</dcterms:modified>
</cp:coreProperties>
</file>